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AE" w:rsidRDefault="00836FBD">
      <w:pPr>
        <w:ind w:leftChars="16" w:left="34"/>
        <w:jc w:val="left"/>
        <w:rPr>
          <w:rFonts w:ascii="宋体" w:eastAsia="宋体" w:hAnsi="宋体" w:cs="宋体"/>
          <w:b/>
          <w:bCs/>
          <w:sz w:val="28"/>
          <w:szCs w:val="28"/>
        </w:rPr>
      </w:pPr>
      <w:r>
        <w:rPr>
          <w:rFonts w:ascii="宋体" w:eastAsia="宋体" w:hAnsi="宋体" w:cs="宋体" w:hint="eastAsia"/>
          <w:b/>
          <w:bCs/>
          <w:sz w:val="28"/>
          <w:szCs w:val="28"/>
        </w:rPr>
        <w:t>附件</w:t>
      </w:r>
    </w:p>
    <w:p w:rsidR="003156AE" w:rsidRDefault="00836FBD">
      <w:pPr>
        <w:ind w:leftChars="16" w:left="34"/>
        <w:jc w:val="center"/>
        <w:rPr>
          <w:rFonts w:ascii="宋体" w:eastAsia="宋体" w:hAnsi="宋体" w:cs="宋体"/>
          <w:b/>
          <w:bCs/>
          <w:sz w:val="36"/>
          <w:szCs w:val="36"/>
        </w:rPr>
      </w:pPr>
      <w:r>
        <w:rPr>
          <w:rFonts w:ascii="宋体" w:eastAsia="宋体" w:hAnsi="宋体" w:cs="宋体" w:hint="eastAsia"/>
          <w:b/>
          <w:bCs/>
          <w:sz w:val="36"/>
          <w:szCs w:val="36"/>
        </w:rPr>
        <w:t>江门市</w:t>
      </w:r>
      <w:r>
        <w:rPr>
          <w:rFonts w:ascii="宋体" w:eastAsia="宋体" w:hAnsi="宋体" w:cs="宋体" w:hint="eastAsia"/>
          <w:b/>
          <w:bCs/>
          <w:sz w:val="36"/>
          <w:szCs w:val="36"/>
        </w:rPr>
        <w:t>新会区环境监测站</w:t>
      </w:r>
      <w:r>
        <w:rPr>
          <w:rFonts w:ascii="宋体" w:eastAsia="宋体" w:hAnsi="宋体" w:cs="宋体" w:hint="eastAsia"/>
          <w:b/>
          <w:bCs/>
          <w:sz w:val="36"/>
          <w:szCs w:val="36"/>
        </w:rPr>
        <w:t>食堂食材</w:t>
      </w:r>
    </w:p>
    <w:p w:rsidR="003156AE" w:rsidRDefault="00836FBD">
      <w:pPr>
        <w:ind w:leftChars="16" w:left="34"/>
        <w:jc w:val="center"/>
        <w:rPr>
          <w:rFonts w:ascii="宋体" w:eastAsia="宋体" w:hAnsi="宋体" w:cs="宋体"/>
          <w:b/>
          <w:bCs/>
          <w:sz w:val="36"/>
          <w:szCs w:val="36"/>
        </w:rPr>
      </w:pPr>
      <w:r>
        <w:rPr>
          <w:rFonts w:ascii="宋体" w:eastAsia="宋体" w:hAnsi="宋体" w:cs="宋体" w:hint="eastAsia"/>
          <w:b/>
          <w:bCs/>
          <w:sz w:val="36"/>
          <w:szCs w:val="36"/>
        </w:rPr>
        <w:t>配送服务项目采购评分标准</w:t>
      </w:r>
    </w:p>
    <w:p w:rsidR="003156AE" w:rsidRDefault="003156AE">
      <w:pPr>
        <w:pStyle w:val="a0"/>
      </w:pPr>
    </w:p>
    <w:tbl>
      <w:tblPr>
        <w:tblW w:w="10026" w:type="dxa"/>
        <w:jc w:val="center"/>
        <w:tblLayout w:type="fixed"/>
        <w:tblCellMar>
          <w:bottom w:w="67" w:type="dxa"/>
          <w:right w:w="0" w:type="dxa"/>
        </w:tblCellMar>
        <w:tblLook w:val="04A0"/>
      </w:tblPr>
      <w:tblGrid>
        <w:gridCol w:w="655"/>
        <w:gridCol w:w="1797"/>
        <w:gridCol w:w="6134"/>
        <w:gridCol w:w="1440"/>
      </w:tblGrid>
      <w:tr w:rsidR="003156AE">
        <w:trPr>
          <w:trHeight w:val="667"/>
          <w:tblHeade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序号</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评价项目</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评价标准</w:t>
            </w: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400" w:lineRule="exact"/>
              <w:jc w:val="center"/>
              <w:rPr>
                <w:rFonts w:ascii="仿宋" w:eastAsia="仿宋" w:hAnsi="仿宋" w:cs="Times New Roman"/>
                <w:b/>
                <w:color w:val="000000"/>
                <w:sz w:val="24"/>
                <w:szCs w:val="24"/>
              </w:rPr>
            </w:pPr>
            <w:r>
              <w:rPr>
                <w:rFonts w:ascii="仿宋" w:eastAsia="仿宋" w:hAnsi="仿宋" w:cs="Times New Roman"/>
                <w:b/>
                <w:color w:val="000000"/>
                <w:sz w:val="24"/>
                <w:szCs w:val="24"/>
              </w:rPr>
              <w:t>单项分数（分）</w:t>
            </w:r>
          </w:p>
        </w:tc>
      </w:tr>
      <w:tr w:rsidR="003156AE">
        <w:trPr>
          <w:trHeight w:val="5073"/>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rPr>
              <w:t>资格性审查</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符合《中华人民共和国政府采购法》第二十二条和《中华人民共和国政府采购法实施条例》第十七条的规定；</w:t>
            </w:r>
          </w:p>
          <w:p w:rsidR="003156AE" w:rsidRDefault="00836FBD">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有经年检合格的营业执照和有效的食品经营许可；</w:t>
            </w:r>
          </w:p>
          <w:p w:rsidR="003156AE" w:rsidRDefault="00836FBD">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具有独立承担民事责任能力的在中华人民共和国境内注册的法人；</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近三年内未被列入失信被执行人名单、重大税收违法案件当事人名单、政府采购严重违法失信行为记录名单，无受到政府采购行政处罚且相关信用惩戒期限未满情形；</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color w:val="000000"/>
                <w:kern w:val="0"/>
                <w:sz w:val="24"/>
                <w:szCs w:val="24"/>
              </w:rPr>
              <w:t>.</w:t>
            </w:r>
            <w:r>
              <w:rPr>
                <w:rFonts w:ascii="仿宋" w:eastAsia="仿宋" w:hAnsi="仿宋" w:cs="Times New Roman"/>
                <w:color w:val="000000"/>
                <w:kern w:val="0"/>
                <w:sz w:val="24"/>
                <w:szCs w:val="24"/>
              </w:rPr>
              <w:t>本项目不接受联合体供应商投标；不允许转包、分包。</w:t>
            </w:r>
          </w:p>
          <w:p w:rsidR="003156AE" w:rsidRDefault="00836FBD">
            <w:pPr>
              <w:pStyle w:val="a0"/>
              <w:ind w:firstLineChars="200" w:firstLine="480"/>
              <w:rPr>
                <w:rFonts w:eastAsia="仿宋"/>
              </w:rPr>
            </w:pPr>
            <w:r>
              <w:rPr>
                <w:rFonts w:ascii="仿宋" w:eastAsia="仿宋" w:hAnsi="仿宋" w:cs="Times New Roman" w:hint="eastAsia"/>
                <w:color w:val="000000"/>
                <w:sz w:val="24"/>
                <w:szCs w:val="24"/>
              </w:rPr>
              <w:t>报名供应商必须符合以上要求，否则取消评选资格。</w:t>
            </w: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10"/>
              <w:jc w:val="center"/>
              <w:rPr>
                <w:rFonts w:ascii="仿宋" w:eastAsia="仿宋" w:hAnsi="仿宋" w:cs="Times New Roman"/>
                <w:kern w:val="0"/>
                <w:sz w:val="24"/>
                <w:szCs w:val="24"/>
              </w:rPr>
            </w:pPr>
            <w:r>
              <w:rPr>
                <w:rFonts w:ascii="仿宋" w:eastAsia="仿宋" w:hAnsi="仿宋" w:cs="Times New Roman" w:hint="eastAsia"/>
                <w:kern w:val="0"/>
                <w:sz w:val="24"/>
                <w:szCs w:val="24"/>
              </w:rPr>
              <w:t>不设分</w:t>
            </w:r>
          </w:p>
        </w:tc>
      </w:tr>
      <w:tr w:rsidR="003156AE">
        <w:trPr>
          <w:trHeight w:val="2860"/>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Style w:val="a8"/>
                <w:rFonts w:ascii="Times New Roman" w:hAnsi="Times New Roman" w:cs="Times New Roman"/>
                <w:szCs w:val="30"/>
              </w:rPr>
            </w:pPr>
            <w:r>
              <w:rPr>
                <w:rStyle w:val="a8"/>
                <w:rFonts w:ascii="仿宋" w:eastAsia="仿宋" w:hAnsi="仿宋" w:cs="Times New Roman"/>
                <w:sz w:val="24"/>
                <w:szCs w:val="24"/>
              </w:rPr>
              <w:t>实施方案</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实施方案全面、完善、合理，可行性和可操作性强，贴合实际需求的，具有完备的安全追溯制度，</w:t>
            </w:r>
            <w:r>
              <w:rPr>
                <w:rFonts w:ascii="仿宋" w:eastAsia="仿宋" w:hAnsi="仿宋" w:cs="Times New Roman" w:hint="eastAsia"/>
                <w:color w:val="000000"/>
                <w:kern w:val="0"/>
                <w:sz w:val="24"/>
                <w:szCs w:val="24"/>
              </w:rPr>
              <w:t>20</w:t>
            </w:r>
            <w:r>
              <w:rPr>
                <w:rFonts w:ascii="仿宋" w:eastAsia="仿宋" w:hAnsi="仿宋" w:cs="Times New Roman" w:hint="eastAsia"/>
                <w:color w:val="000000"/>
                <w:kern w:val="0"/>
                <w:sz w:val="24"/>
                <w:szCs w:val="24"/>
              </w:rPr>
              <w:t>&lt;</w:t>
            </w:r>
            <w:r>
              <w:rPr>
                <w:rFonts w:ascii="仿宋" w:eastAsia="仿宋" w:hAnsi="仿宋" w:cs="Times New Roman" w:hint="eastAsia"/>
                <w:color w:val="000000"/>
                <w:kern w:val="0"/>
                <w:sz w:val="24"/>
                <w:szCs w:val="24"/>
              </w:rPr>
              <w:t>得分≤</w:t>
            </w:r>
            <w:r>
              <w:rPr>
                <w:rFonts w:ascii="仿宋" w:eastAsia="仿宋" w:hAnsi="仿宋" w:cs="Times New Roman" w:hint="eastAsia"/>
                <w:color w:val="000000"/>
                <w:kern w:val="0"/>
                <w:sz w:val="24"/>
                <w:szCs w:val="24"/>
              </w:rPr>
              <w:t>30</w:t>
            </w:r>
            <w:r>
              <w:rPr>
                <w:rFonts w:ascii="仿宋" w:eastAsia="仿宋" w:hAnsi="仿宋" w:cs="Times New Roman"/>
                <w:color w:val="000000"/>
                <w:kern w:val="0"/>
                <w:sz w:val="24"/>
                <w:szCs w:val="24"/>
              </w:rPr>
              <w:t>；实施方案较全面、完善，可行性和可操作性较强，具有可行的安全追溯制度，</w:t>
            </w:r>
            <w:r>
              <w:rPr>
                <w:rFonts w:ascii="仿宋" w:eastAsia="仿宋" w:hAnsi="仿宋" w:cs="Times New Roman" w:hint="eastAsia"/>
                <w:color w:val="000000"/>
                <w:kern w:val="0"/>
                <w:sz w:val="24"/>
                <w:szCs w:val="24"/>
              </w:rPr>
              <w:t>10</w:t>
            </w:r>
            <w:r>
              <w:rPr>
                <w:rFonts w:ascii="仿宋" w:eastAsia="仿宋" w:hAnsi="仿宋" w:cs="Times New Roman" w:hint="eastAsia"/>
                <w:color w:val="000000"/>
                <w:kern w:val="0"/>
                <w:sz w:val="24"/>
                <w:szCs w:val="24"/>
              </w:rPr>
              <w:t>&lt;</w:t>
            </w:r>
            <w:r>
              <w:rPr>
                <w:rFonts w:ascii="仿宋" w:eastAsia="仿宋" w:hAnsi="仿宋" w:cs="Times New Roman" w:hint="eastAsia"/>
                <w:color w:val="000000"/>
                <w:kern w:val="0"/>
                <w:sz w:val="24"/>
                <w:szCs w:val="24"/>
              </w:rPr>
              <w:t>得分≤</w:t>
            </w:r>
            <w:r>
              <w:rPr>
                <w:rFonts w:ascii="仿宋" w:eastAsia="仿宋" w:hAnsi="仿宋" w:cs="Times New Roman" w:hint="eastAsia"/>
                <w:color w:val="000000"/>
                <w:kern w:val="0"/>
                <w:sz w:val="24"/>
                <w:szCs w:val="24"/>
              </w:rPr>
              <w:t>20</w:t>
            </w:r>
            <w:r>
              <w:rPr>
                <w:rFonts w:ascii="仿宋" w:eastAsia="仿宋" w:hAnsi="仿宋" w:cs="Times New Roman"/>
                <w:color w:val="000000"/>
                <w:kern w:val="0"/>
                <w:sz w:val="24"/>
                <w:szCs w:val="24"/>
              </w:rPr>
              <w:t>；实施方案较全面不够合理，可行性和可操作性一般，</w:t>
            </w:r>
            <w:r>
              <w:rPr>
                <w:rFonts w:ascii="仿宋" w:eastAsia="仿宋" w:hAnsi="仿宋" w:cs="Times New Roman" w:hint="eastAsia"/>
                <w:color w:val="000000"/>
                <w:kern w:val="0"/>
                <w:sz w:val="24"/>
                <w:szCs w:val="24"/>
              </w:rPr>
              <w:t>0&lt;</w:t>
            </w:r>
            <w:r>
              <w:rPr>
                <w:rFonts w:ascii="仿宋" w:eastAsia="仿宋" w:hAnsi="仿宋" w:cs="Times New Roman" w:hint="eastAsia"/>
                <w:color w:val="000000"/>
                <w:kern w:val="0"/>
                <w:sz w:val="24"/>
                <w:szCs w:val="24"/>
              </w:rPr>
              <w:t>得分≤</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0</w:t>
            </w:r>
            <w:r>
              <w:rPr>
                <w:rFonts w:ascii="仿宋" w:eastAsia="仿宋" w:hAnsi="仿宋" w:cs="Times New Roman"/>
                <w:color w:val="000000"/>
                <w:kern w:val="0"/>
                <w:sz w:val="24"/>
                <w:szCs w:val="24"/>
              </w:rPr>
              <w:t>。</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注：供应商需提供含服务</w:t>
            </w:r>
            <w:r>
              <w:rPr>
                <w:rFonts w:ascii="仿宋" w:eastAsia="仿宋" w:hAnsi="仿宋" w:cs="Times New Roman" w:hint="eastAsia"/>
                <w:color w:val="000000"/>
                <w:kern w:val="0"/>
                <w:sz w:val="24"/>
                <w:szCs w:val="24"/>
              </w:rPr>
              <w:t>方案、服务承诺</w:t>
            </w:r>
            <w:r>
              <w:rPr>
                <w:rFonts w:ascii="仿宋" w:eastAsia="仿宋" w:hAnsi="仿宋" w:cs="Times New Roman"/>
                <w:color w:val="000000"/>
                <w:kern w:val="0"/>
                <w:sz w:val="24"/>
                <w:szCs w:val="24"/>
              </w:rPr>
              <w:t>、应急预案、质量控制措施的实施方案，不提供相关资料不得分。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30</w:t>
            </w:r>
          </w:p>
        </w:tc>
      </w:tr>
      <w:tr w:rsidR="003156AE">
        <w:trPr>
          <w:trHeight w:val="2302"/>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Style w:val="a8"/>
                <w:rFonts w:ascii="仿宋" w:eastAsia="仿宋" w:hAnsi="仿宋" w:cs="Times New Roman"/>
                <w:sz w:val="24"/>
                <w:szCs w:val="24"/>
              </w:rPr>
              <w:t>经营业绩</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根据报名单位提供的承接过同类食材配送项目业绩证明评分，</w:t>
            </w:r>
            <w:r>
              <w:rPr>
                <w:rFonts w:ascii="仿宋" w:eastAsia="仿宋" w:hAnsi="仿宋" w:cs="Times New Roman" w:hint="eastAsia"/>
                <w:color w:val="000000"/>
                <w:kern w:val="0"/>
                <w:sz w:val="24"/>
                <w:szCs w:val="24"/>
              </w:rPr>
              <w:t>每家（提供相关证明）得</w:t>
            </w: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最高得</w:t>
            </w:r>
            <w:r>
              <w:rPr>
                <w:rFonts w:ascii="仿宋" w:eastAsia="仿宋" w:hAnsi="仿宋" w:cs="Times New Roman" w:hint="eastAsia"/>
                <w:color w:val="000000"/>
                <w:kern w:val="0"/>
                <w:sz w:val="24"/>
                <w:szCs w:val="24"/>
              </w:rPr>
              <w:t>10</w:t>
            </w:r>
            <w:r>
              <w:rPr>
                <w:rFonts w:ascii="仿宋" w:eastAsia="仿宋" w:hAnsi="仿宋" w:cs="Times New Roman"/>
                <w:color w:val="000000"/>
                <w:kern w:val="0"/>
                <w:sz w:val="24"/>
                <w:szCs w:val="24"/>
              </w:rPr>
              <w:t>分</w:t>
            </w:r>
            <w:r>
              <w:rPr>
                <w:rFonts w:ascii="仿宋" w:eastAsia="仿宋" w:hAnsi="仿宋" w:cs="Times New Roman" w:hint="eastAsia"/>
                <w:color w:val="000000"/>
                <w:kern w:val="0"/>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w:t>
            </w:r>
          </w:p>
        </w:tc>
      </w:tr>
      <w:tr w:rsidR="003156AE">
        <w:trPr>
          <w:trHeight w:val="285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4</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sz w:val="24"/>
                <w:szCs w:val="24"/>
              </w:rPr>
              <w:t>配送运输</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供应商投入配送车辆，每</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辆</w:t>
            </w:r>
            <w:r>
              <w:rPr>
                <w:rFonts w:ascii="仿宋" w:eastAsia="仿宋" w:hAnsi="仿宋" w:cs="Times New Roman" w:hint="eastAsia"/>
                <w:color w:val="000000"/>
                <w:kern w:val="0"/>
                <w:sz w:val="24"/>
                <w:szCs w:val="24"/>
              </w:rPr>
              <w:t>车</w:t>
            </w:r>
            <w:r>
              <w:rPr>
                <w:rFonts w:ascii="仿宋" w:eastAsia="仿宋" w:hAnsi="仿宋" w:cs="Times New Roman"/>
                <w:color w:val="000000"/>
                <w:kern w:val="0"/>
                <w:sz w:val="24"/>
                <w:szCs w:val="24"/>
              </w:rPr>
              <w:t>得</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分，最高得</w:t>
            </w: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 xml:space="preserve"> </w:t>
            </w:r>
            <w:r>
              <w:rPr>
                <w:rFonts w:ascii="仿宋" w:eastAsia="仿宋" w:hAnsi="仿宋" w:cs="Times New Roman"/>
                <w:color w:val="000000"/>
                <w:kern w:val="0"/>
                <w:sz w:val="24"/>
                <w:szCs w:val="24"/>
              </w:rPr>
              <w:t>配送车辆中含有冷藏车的，每</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辆得</w:t>
            </w: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分，最高得</w:t>
            </w: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分。</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注：供应商需提供配送车辆的车辆行驶证复印件及车辆照片（如为租赁车辆须提供租赁合同关键页复印件），不提供相关材料不得分。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r>
      <w:tr w:rsidR="003156AE">
        <w:trPr>
          <w:trHeight w:val="5635"/>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sz w:val="24"/>
                <w:szCs w:val="24"/>
              </w:rPr>
              <w:t>食材</w:t>
            </w:r>
            <w:r>
              <w:rPr>
                <w:rStyle w:val="a8"/>
                <w:rFonts w:ascii="仿宋" w:eastAsia="仿宋" w:hAnsi="仿宋" w:cs="Times New Roman" w:hint="eastAsia"/>
                <w:sz w:val="24"/>
                <w:szCs w:val="24"/>
              </w:rPr>
              <w:t>来源</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供应商承诺建立配送采购人食材的追踪溯源体系及专门台账档案，得</w:t>
            </w:r>
            <w:r>
              <w:rPr>
                <w:rFonts w:ascii="仿宋" w:eastAsia="仿宋" w:hAnsi="仿宋" w:cs="Times New Roman" w:hint="eastAsia"/>
                <w:color w:val="000000"/>
                <w:kern w:val="0"/>
                <w:sz w:val="24"/>
                <w:szCs w:val="24"/>
              </w:rPr>
              <w:t xml:space="preserve"> 5</w:t>
            </w:r>
            <w:r>
              <w:rPr>
                <w:rFonts w:ascii="仿宋" w:eastAsia="仿宋" w:hAnsi="仿宋" w:cs="Times New Roman" w:hint="eastAsia"/>
                <w:color w:val="000000"/>
                <w:kern w:val="0"/>
                <w:sz w:val="24"/>
                <w:szCs w:val="24"/>
              </w:rPr>
              <w:t>分。（供应商提供承诺函加盖公章，不提供承诺函不得分。）</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hint="eastAsia"/>
                <w:color w:val="000000"/>
                <w:kern w:val="0"/>
                <w:sz w:val="24"/>
                <w:szCs w:val="24"/>
              </w:rPr>
              <w:t>供应商与当地经营大型农贸市场或与大型农贸市场有稳定合作关系，得</w:t>
            </w:r>
            <w:r>
              <w:rPr>
                <w:rFonts w:ascii="仿宋" w:eastAsia="仿宋" w:hAnsi="仿宋" w:cs="Times New Roman" w:hint="eastAsia"/>
                <w:color w:val="000000"/>
                <w:kern w:val="0"/>
                <w:sz w:val="24"/>
                <w:szCs w:val="24"/>
              </w:rPr>
              <w:t>10</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供应商提供与有经营大型农贸市场或与大型农贸市场的合作协议或者合同复印件加盖投标人公章，不提供不得分。</w:t>
            </w:r>
            <w:r>
              <w:rPr>
                <w:rFonts w:ascii="仿宋" w:eastAsia="仿宋" w:hAnsi="仿宋" w:cs="Times New Roman" w:hint="eastAsia"/>
                <w:color w:val="000000"/>
                <w:kern w:val="0"/>
                <w:sz w:val="24"/>
                <w:szCs w:val="24"/>
              </w:rPr>
              <w:t>)</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供应商自有或租赁原材料生产基地的，如蔬菜、肉类、粮食、水果、水产品、副食品等，每提供</w:t>
            </w:r>
            <w:r>
              <w:rPr>
                <w:rFonts w:ascii="仿宋" w:eastAsia="仿宋" w:hAnsi="仿宋" w:cs="Times New Roman" w:hint="eastAsia"/>
                <w:color w:val="000000"/>
                <w:kern w:val="0"/>
                <w:sz w:val="24"/>
                <w:szCs w:val="24"/>
              </w:rPr>
              <w:t xml:space="preserve"> 1</w:t>
            </w:r>
            <w:r>
              <w:rPr>
                <w:rFonts w:ascii="仿宋" w:eastAsia="仿宋" w:hAnsi="仿宋" w:cs="Times New Roman" w:hint="eastAsia"/>
                <w:color w:val="000000"/>
                <w:kern w:val="0"/>
                <w:sz w:val="24"/>
                <w:szCs w:val="24"/>
              </w:rPr>
              <w:t>项得</w:t>
            </w:r>
            <w:r>
              <w:rPr>
                <w:rFonts w:ascii="仿宋" w:eastAsia="仿宋" w:hAnsi="仿宋" w:cs="Times New Roman" w:hint="eastAsia"/>
                <w:color w:val="000000"/>
                <w:kern w:val="0"/>
                <w:sz w:val="24"/>
                <w:szCs w:val="24"/>
              </w:rPr>
              <w:t xml:space="preserve">1 </w:t>
            </w:r>
            <w:r>
              <w:rPr>
                <w:rFonts w:ascii="仿宋" w:eastAsia="仿宋" w:hAnsi="仿宋" w:cs="Times New Roman" w:hint="eastAsia"/>
                <w:color w:val="000000"/>
                <w:kern w:val="0"/>
                <w:sz w:val="24"/>
                <w:szCs w:val="24"/>
              </w:rPr>
              <w:t>分，满分</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hint="eastAsia"/>
                <w:color w:val="000000"/>
                <w:kern w:val="0"/>
                <w:sz w:val="24"/>
                <w:szCs w:val="24"/>
              </w:rPr>
              <w:t>提供自有基地相关的产权证明复印件加盖投标人公章，如租赁原材料基地的提供租赁合同复印件加盖公章，否则不得分。</w:t>
            </w:r>
            <w:r>
              <w:rPr>
                <w:rFonts w:ascii="仿宋" w:eastAsia="仿宋" w:hAnsi="仿宋" w:cs="Times New Roman" w:hint="eastAsia"/>
                <w:color w:val="000000"/>
                <w:kern w:val="0"/>
                <w:sz w:val="24"/>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20</w:t>
            </w:r>
          </w:p>
        </w:tc>
      </w:tr>
      <w:tr w:rsidR="003156AE">
        <w:trPr>
          <w:trHeight w:val="204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6</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sz w:val="24"/>
                <w:szCs w:val="24"/>
              </w:rPr>
              <w:t>食材</w:t>
            </w:r>
            <w:r>
              <w:rPr>
                <w:rStyle w:val="a8"/>
                <w:rFonts w:ascii="仿宋" w:eastAsia="仿宋" w:hAnsi="仿宋" w:cs="Times New Roman" w:hint="eastAsia"/>
                <w:sz w:val="24"/>
                <w:szCs w:val="24"/>
              </w:rPr>
              <w:t>安全</w:t>
            </w:r>
            <w:r>
              <w:rPr>
                <w:rStyle w:val="a8"/>
                <w:rFonts w:ascii="仿宋" w:eastAsia="仿宋" w:hAnsi="仿宋" w:cs="Times New Roman"/>
                <w:sz w:val="24"/>
                <w:szCs w:val="24"/>
              </w:rPr>
              <w:t>保障</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供应商提供获得政府行政管理部门或有资质的第三方检测机构出具的对主要食材米、粉、面、蔬菜、禽畜生肉、禽蛋、水产品、副食品等的检验合格质检报告，每提供一项原材料报告得</w:t>
            </w:r>
            <w:r>
              <w:rPr>
                <w:rFonts w:ascii="仿宋" w:eastAsia="仿宋" w:hAnsi="仿宋" w:cs="Times New Roman" w:hint="eastAsia"/>
                <w:color w:val="000000"/>
                <w:kern w:val="0"/>
                <w:sz w:val="24"/>
                <w:szCs w:val="24"/>
              </w:rPr>
              <w:t>3</w:t>
            </w:r>
            <w:r>
              <w:rPr>
                <w:rFonts w:ascii="仿宋" w:eastAsia="仿宋" w:hAnsi="仿宋" w:cs="Times New Roman" w:hint="eastAsia"/>
                <w:color w:val="000000"/>
                <w:kern w:val="0"/>
                <w:sz w:val="24"/>
                <w:szCs w:val="24"/>
              </w:rPr>
              <w:t>分，最高得分为</w:t>
            </w:r>
            <w:r>
              <w:rPr>
                <w:rFonts w:ascii="仿宋" w:eastAsia="仿宋" w:hAnsi="仿宋" w:cs="Times New Roman" w:hint="eastAsia"/>
                <w:color w:val="000000"/>
                <w:kern w:val="0"/>
                <w:sz w:val="24"/>
                <w:szCs w:val="24"/>
              </w:rPr>
              <w:t>15</w:t>
            </w:r>
            <w:r>
              <w:rPr>
                <w:rFonts w:ascii="仿宋" w:eastAsia="仿宋" w:hAnsi="仿宋" w:cs="Times New Roman" w:hint="eastAsia"/>
                <w:color w:val="000000"/>
                <w:kern w:val="0"/>
                <w:sz w:val="24"/>
                <w:szCs w:val="24"/>
              </w:rPr>
              <w:t>分。</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供应商对食品安全进行安全责任投保，投保金额不少于</w:t>
            </w:r>
            <w:r>
              <w:rPr>
                <w:rFonts w:ascii="仿宋" w:eastAsia="仿宋" w:hAnsi="仿宋" w:cs="Times New Roman"/>
                <w:color w:val="000000"/>
                <w:kern w:val="0"/>
                <w:sz w:val="24"/>
                <w:szCs w:val="24"/>
              </w:rPr>
              <w:t>500</w:t>
            </w:r>
            <w:r>
              <w:rPr>
                <w:rFonts w:ascii="仿宋" w:eastAsia="仿宋" w:hAnsi="仿宋" w:cs="Times New Roman"/>
                <w:color w:val="000000"/>
                <w:kern w:val="0"/>
                <w:sz w:val="24"/>
                <w:szCs w:val="24"/>
              </w:rPr>
              <w:t>万元的，得</w:t>
            </w:r>
            <w:r>
              <w:rPr>
                <w:rFonts w:ascii="仿宋" w:eastAsia="仿宋" w:hAnsi="仿宋" w:cs="Times New Roman"/>
                <w:color w:val="000000"/>
                <w:kern w:val="0"/>
                <w:sz w:val="24"/>
                <w:szCs w:val="24"/>
              </w:rPr>
              <w:t>5</w:t>
            </w:r>
            <w:r>
              <w:rPr>
                <w:rFonts w:ascii="仿宋" w:eastAsia="仿宋" w:hAnsi="仿宋" w:cs="Times New Roman"/>
                <w:color w:val="000000"/>
                <w:kern w:val="0"/>
                <w:sz w:val="24"/>
                <w:szCs w:val="24"/>
              </w:rPr>
              <w:t>分；投保金额不少于</w:t>
            </w:r>
            <w:r>
              <w:rPr>
                <w:rFonts w:ascii="仿宋" w:eastAsia="仿宋" w:hAnsi="仿宋" w:cs="Times New Roman"/>
                <w:color w:val="000000"/>
                <w:kern w:val="0"/>
                <w:sz w:val="24"/>
                <w:szCs w:val="24"/>
              </w:rPr>
              <w:t>300</w:t>
            </w:r>
            <w:r>
              <w:rPr>
                <w:rFonts w:ascii="仿宋" w:eastAsia="仿宋" w:hAnsi="仿宋" w:cs="Times New Roman"/>
                <w:color w:val="000000"/>
                <w:kern w:val="0"/>
                <w:sz w:val="24"/>
                <w:szCs w:val="24"/>
              </w:rPr>
              <w:t>万元的，得</w:t>
            </w:r>
            <w:r>
              <w:rPr>
                <w:rFonts w:ascii="仿宋" w:eastAsia="仿宋" w:hAnsi="仿宋" w:cs="Times New Roman"/>
                <w:color w:val="000000"/>
                <w:kern w:val="0"/>
                <w:sz w:val="24"/>
                <w:szCs w:val="24"/>
              </w:rPr>
              <w:t>3</w:t>
            </w:r>
            <w:r>
              <w:rPr>
                <w:rFonts w:ascii="仿宋" w:eastAsia="仿宋" w:hAnsi="仿宋" w:cs="Times New Roman"/>
                <w:color w:val="000000"/>
                <w:kern w:val="0"/>
                <w:sz w:val="24"/>
                <w:szCs w:val="24"/>
              </w:rPr>
              <w:t>分；投保金额不少于</w:t>
            </w:r>
            <w:r>
              <w:rPr>
                <w:rFonts w:ascii="仿宋" w:eastAsia="仿宋" w:hAnsi="仿宋" w:cs="Times New Roman"/>
                <w:color w:val="000000"/>
                <w:kern w:val="0"/>
                <w:sz w:val="24"/>
                <w:szCs w:val="24"/>
              </w:rPr>
              <w:t>100</w:t>
            </w:r>
            <w:r>
              <w:rPr>
                <w:rFonts w:ascii="仿宋" w:eastAsia="仿宋" w:hAnsi="仿宋" w:cs="Times New Roman"/>
                <w:color w:val="000000"/>
                <w:kern w:val="0"/>
                <w:sz w:val="24"/>
                <w:szCs w:val="24"/>
              </w:rPr>
              <w:t>万元的，得</w:t>
            </w:r>
            <w:r>
              <w:rPr>
                <w:rFonts w:ascii="仿宋" w:eastAsia="仿宋" w:hAnsi="仿宋" w:cs="Times New Roman"/>
                <w:color w:val="000000"/>
                <w:kern w:val="0"/>
                <w:sz w:val="24"/>
                <w:szCs w:val="24"/>
              </w:rPr>
              <w:t>1</w:t>
            </w:r>
            <w:r>
              <w:rPr>
                <w:rFonts w:ascii="仿宋" w:eastAsia="仿宋" w:hAnsi="仿宋" w:cs="Times New Roman"/>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供应商需提供有效的食品安全责任保险合同，不提供相关证明不得分。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20</w:t>
            </w:r>
          </w:p>
        </w:tc>
      </w:tr>
      <w:tr w:rsidR="003156AE">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7</w:t>
            </w:r>
          </w:p>
        </w:tc>
        <w:tc>
          <w:tcPr>
            <w:tcW w:w="1797"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hint="eastAsia"/>
                <w:sz w:val="24"/>
                <w:szCs w:val="24"/>
              </w:rPr>
              <w:t>采购贫困地区农副产品</w:t>
            </w:r>
          </w:p>
        </w:tc>
        <w:tc>
          <w:tcPr>
            <w:tcW w:w="6134"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供应商有</w:t>
            </w:r>
            <w:r>
              <w:rPr>
                <w:rFonts w:ascii="仿宋" w:eastAsia="仿宋" w:hAnsi="仿宋" w:cs="Times New Roman" w:hint="eastAsia"/>
                <w:color w:val="000000"/>
                <w:kern w:val="0"/>
                <w:sz w:val="24"/>
                <w:szCs w:val="24"/>
              </w:rPr>
              <w:t>832</w:t>
            </w:r>
            <w:r>
              <w:rPr>
                <w:rFonts w:ascii="仿宋" w:eastAsia="仿宋" w:hAnsi="仿宋" w:cs="Times New Roman" w:hint="eastAsia"/>
                <w:color w:val="000000"/>
                <w:kern w:val="0"/>
                <w:sz w:val="24"/>
                <w:szCs w:val="24"/>
              </w:rPr>
              <w:t>脱贫地区农副产品网络销售平台采购经验的，得</w:t>
            </w:r>
            <w:r>
              <w:rPr>
                <w:rFonts w:ascii="仿宋" w:eastAsia="仿宋" w:hAnsi="仿宋" w:cs="Times New Roman" w:hint="eastAsia"/>
                <w:color w:val="000000"/>
                <w:kern w:val="0"/>
                <w:sz w:val="24"/>
                <w:szCs w:val="24"/>
              </w:rPr>
              <w:t>5</w:t>
            </w:r>
            <w:r>
              <w:rPr>
                <w:rFonts w:ascii="仿宋" w:eastAsia="仿宋" w:hAnsi="仿宋" w:cs="Times New Roman" w:hint="eastAsia"/>
                <w:color w:val="000000"/>
                <w:kern w:val="0"/>
                <w:sz w:val="24"/>
                <w:szCs w:val="24"/>
              </w:rPr>
              <w:t>分。</w:t>
            </w:r>
          </w:p>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注：供应商应提供</w:t>
            </w:r>
            <w:r>
              <w:rPr>
                <w:rFonts w:ascii="仿宋" w:eastAsia="仿宋" w:hAnsi="仿宋" w:cs="Times New Roman" w:hint="eastAsia"/>
                <w:color w:val="000000"/>
                <w:kern w:val="0"/>
                <w:sz w:val="24"/>
                <w:szCs w:val="24"/>
              </w:rPr>
              <w:t>832</w:t>
            </w:r>
            <w:r>
              <w:rPr>
                <w:rFonts w:ascii="仿宋" w:eastAsia="仿宋" w:hAnsi="仿宋" w:cs="Times New Roman" w:hint="eastAsia"/>
                <w:color w:val="000000"/>
                <w:kern w:val="0"/>
                <w:sz w:val="24"/>
                <w:szCs w:val="24"/>
              </w:rPr>
              <w:t>平台采购账号登陆截图和</w:t>
            </w:r>
            <w:r>
              <w:rPr>
                <w:rFonts w:ascii="仿宋" w:eastAsia="仿宋" w:hAnsi="仿宋" w:cs="Times New Roman" w:hint="eastAsia"/>
                <w:color w:val="000000"/>
                <w:kern w:val="0"/>
                <w:sz w:val="24"/>
                <w:szCs w:val="24"/>
              </w:rPr>
              <w:t>202</w:t>
            </w:r>
            <w:r>
              <w:rPr>
                <w:rFonts w:ascii="仿宋" w:eastAsia="仿宋" w:hAnsi="仿宋" w:cs="Times New Roman" w:hint="eastAsia"/>
                <w:color w:val="000000"/>
                <w:kern w:val="0"/>
                <w:sz w:val="24"/>
                <w:szCs w:val="24"/>
              </w:rPr>
              <w:t>4</w:t>
            </w:r>
            <w:r>
              <w:rPr>
                <w:rFonts w:ascii="仿宋" w:eastAsia="仿宋" w:hAnsi="仿宋" w:cs="Times New Roman" w:hint="eastAsia"/>
                <w:color w:val="000000"/>
                <w:kern w:val="0"/>
                <w:sz w:val="24"/>
                <w:szCs w:val="24"/>
              </w:rPr>
              <w:t>年</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月至今任意一个月的</w:t>
            </w:r>
            <w:r>
              <w:rPr>
                <w:rFonts w:ascii="仿宋" w:eastAsia="仿宋" w:hAnsi="仿宋" w:cs="Times New Roman" w:hint="eastAsia"/>
                <w:color w:val="000000"/>
                <w:kern w:val="0"/>
                <w:sz w:val="24"/>
                <w:szCs w:val="24"/>
              </w:rPr>
              <w:t>832</w:t>
            </w:r>
            <w:r>
              <w:rPr>
                <w:rFonts w:ascii="仿宋" w:eastAsia="仿宋" w:hAnsi="仿宋" w:cs="Times New Roman" w:hint="eastAsia"/>
                <w:color w:val="000000"/>
                <w:kern w:val="0"/>
                <w:sz w:val="24"/>
                <w:szCs w:val="24"/>
              </w:rPr>
              <w:t>平台采购记录，不提供相关资料不得分。</w:t>
            </w:r>
          </w:p>
          <w:p w:rsidR="003156AE" w:rsidRDefault="003156AE">
            <w:pPr>
              <w:widowControl/>
              <w:spacing w:line="360" w:lineRule="exact"/>
              <w:ind w:right="108" w:firstLineChars="196" w:firstLine="470"/>
              <w:rPr>
                <w:rFonts w:ascii="仿宋" w:eastAsia="仿宋" w:hAnsi="仿宋" w:cs="Times New Roman"/>
                <w:color w:val="000000"/>
                <w:kern w:val="0"/>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r>
      <w:tr w:rsidR="003156AE">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3156AE" w:rsidRDefault="00836FBD">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8</w:t>
            </w: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6AE" w:rsidRDefault="00836FBD">
            <w:pPr>
              <w:widowControl/>
              <w:spacing w:line="360" w:lineRule="exact"/>
              <w:ind w:right="108"/>
              <w:jc w:val="center"/>
              <w:rPr>
                <w:rFonts w:ascii="仿宋" w:eastAsia="仿宋" w:hAnsi="仿宋" w:cs="Times New Roman"/>
                <w:b/>
                <w:bCs/>
                <w:sz w:val="24"/>
                <w:szCs w:val="24"/>
              </w:rPr>
            </w:pPr>
            <w:r>
              <w:rPr>
                <w:rStyle w:val="a8"/>
                <w:rFonts w:ascii="仿宋" w:eastAsia="仿宋" w:hAnsi="仿宋" w:cs="Times New Roman" w:hint="eastAsia"/>
                <w:sz w:val="24"/>
                <w:szCs w:val="24"/>
              </w:rPr>
              <w:t>食材</w:t>
            </w:r>
            <w:r>
              <w:rPr>
                <w:rStyle w:val="a8"/>
                <w:rFonts w:ascii="仿宋" w:eastAsia="仿宋" w:hAnsi="仿宋" w:cs="Times New Roman"/>
                <w:sz w:val="24"/>
                <w:szCs w:val="24"/>
              </w:rPr>
              <w:t>价格</w:t>
            </w:r>
          </w:p>
        </w:tc>
        <w:tc>
          <w:tcPr>
            <w:tcW w:w="6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6AE" w:rsidRDefault="00836FBD">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以</w:t>
            </w:r>
            <w:r>
              <w:rPr>
                <w:rFonts w:ascii="仿宋" w:eastAsia="仿宋" w:hAnsi="仿宋" w:cs="Times New Roman"/>
                <w:color w:val="000000"/>
                <w:kern w:val="0"/>
                <w:sz w:val="24"/>
                <w:szCs w:val="24"/>
              </w:rPr>
              <w:t>江门市</w:t>
            </w:r>
            <w:r>
              <w:rPr>
                <w:rFonts w:ascii="仿宋" w:eastAsia="仿宋" w:hAnsi="仿宋" w:cs="Times New Roman" w:hint="eastAsia"/>
                <w:color w:val="000000"/>
                <w:kern w:val="0"/>
                <w:sz w:val="24"/>
                <w:szCs w:val="24"/>
              </w:rPr>
              <w:t>发改局</w:t>
            </w:r>
            <w:r>
              <w:rPr>
                <w:rFonts w:ascii="仿宋" w:eastAsia="仿宋" w:hAnsi="仿宋" w:cs="Times New Roman"/>
                <w:color w:val="000000"/>
                <w:kern w:val="0"/>
                <w:sz w:val="24"/>
                <w:szCs w:val="24"/>
              </w:rPr>
              <w:t>公布</w:t>
            </w:r>
            <w:r>
              <w:rPr>
                <w:rFonts w:ascii="仿宋" w:eastAsia="仿宋" w:hAnsi="仿宋" w:cs="Times New Roman" w:hint="eastAsia"/>
                <w:color w:val="000000"/>
                <w:kern w:val="0"/>
                <w:sz w:val="24"/>
                <w:szCs w:val="24"/>
              </w:rPr>
              <w:t>的江门市</w:t>
            </w:r>
            <w:r>
              <w:rPr>
                <w:rFonts w:ascii="仿宋" w:eastAsia="仿宋" w:hAnsi="仿宋" w:cs="Times New Roman"/>
                <w:color w:val="000000"/>
                <w:kern w:val="0"/>
                <w:sz w:val="24"/>
                <w:szCs w:val="24"/>
              </w:rPr>
              <w:t>菜篮子价格</w:t>
            </w:r>
            <w:r>
              <w:rPr>
                <w:rFonts w:ascii="仿宋" w:eastAsia="仿宋" w:hAnsi="仿宋" w:cs="Times New Roman" w:hint="eastAsia"/>
                <w:color w:val="000000"/>
                <w:kern w:val="0"/>
                <w:sz w:val="24"/>
                <w:szCs w:val="24"/>
              </w:rPr>
              <w:t>为</w:t>
            </w:r>
            <w:r>
              <w:rPr>
                <w:rFonts w:ascii="仿宋" w:eastAsia="仿宋" w:hAnsi="仿宋" w:cs="Times New Roman"/>
                <w:color w:val="000000"/>
                <w:kern w:val="0"/>
                <w:sz w:val="24"/>
                <w:szCs w:val="24"/>
              </w:rPr>
              <w:t>基准价格，</w:t>
            </w:r>
            <w:r>
              <w:rPr>
                <w:rFonts w:ascii="仿宋" w:eastAsia="仿宋" w:hAnsi="仿宋" w:cs="Times New Roman" w:hint="eastAsia"/>
                <w:color w:val="000000"/>
                <w:kern w:val="0"/>
                <w:sz w:val="24"/>
                <w:szCs w:val="24"/>
              </w:rPr>
              <w:t>供应商提供折扣率报价，折扣率为</w:t>
            </w:r>
            <w:r>
              <w:rPr>
                <w:rFonts w:ascii="仿宋" w:eastAsia="仿宋" w:hAnsi="仿宋" w:cs="Times New Roman" w:hint="eastAsia"/>
                <w:color w:val="000000"/>
                <w:kern w:val="0"/>
                <w:sz w:val="24"/>
                <w:szCs w:val="24"/>
              </w:rPr>
              <w:t>0</w:t>
            </w:r>
            <w:r>
              <w:rPr>
                <w:rFonts w:ascii="仿宋" w:eastAsia="仿宋" w:hAnsi="仿宋" w:cs="Times New Roman" w:hint="eastAsia"/>
                <w:color w:val="000000"/>
                <w:kern w:val="0"/>
                <w:sz w:val="24"/>
                <w:szCs w:val="24"/>
              </w:rPr>
              <w:t>不得分，折扣率每增加</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得</w:t>
            </w:r>
            <w:r>
              <w:rPr>
                <w:rFonts w:ascii="仿宋" w:eastAsia="仿宋" w:hAnsi="仿宋" w:cs="Times New Roman" w:hint="eastAsia"/>
                <w:color w:val="000000"/>
                <w:kern w:val="0"/>
                <w:sz w:val="24"/>
                <w:szCs w:val="24"/>
              </w:rPr>
              <w:t>1</w:t>
            </w:r>
            <w:r>
              <w:rPr>
                <w:rFonts w:ascii="仿宋" w:eastAsia="仿宋" w:hAnsi="仿宋" w:cs="Times New Roman" w:hint="eastAsia"/>
                <w:color w:val="000000"/>
                <w:kern w:val="0"/>
                <w:sz w:val="24"/>
                <w:szCs w:val="24"/>
              </w:rPr>
              <w:t>分，最</w:t>
            </w:r>
            <w:bookmarkStart w:id="0" w:name="_GoBack"/>
            <w:bookmarkEnd w:id="0"/>
            <w:r>
              <w:rPr>
                <w:rFonts w:ascii="仿宋" w:eastAsia="仿宋" w:hAnsi="仿宋" w:cs="Times New Roman" w:hint="eastAsia"/>
                <w:color w:val="000000"/>
                <w:kern w:val="0"/>
                <w:sz w:val="24"/>
                <w:szCs w:val="24"/>
              </w:rPr>
              <w:t>高得分</w:t>
            </w:r>
            <w:r>
              <w:rPr>
                <w:rFonts w:ascii="仿宋" w:eastAsia="仿宋" w:hAnsi="仿宋" w:cs="Times New Roman" w:hint="eastAsia"/>
                <w:color w:val="000000"/>
                <w:kern w:val="0"/>
                <w:sz w:val="24"/>
                <w:szCs w:val="24"/>
              </w:rPr>
              <w:t>10</w:t>
            </w:r>
            <w:r>
              <w:rPr>
                <w:rFonts w:ascii="仿宋" w:eastAsia="仿宋" w:hAnsi="仿宋" w:cs="Times New Roman" w:hint="eastAsia"/>
                <w:color w:val="000000"/>
                <w:kern w:val="0"/>
                <w:sz w:val="24"/>
                <w:szCs w:val="24"/>
              </w:rPr>
              <w:t>分。</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56AE" w:rsidRDefault="00836FBD">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10</w:t>
            </w:r>
          </w:p>
        </w:tc>
      </w:tr>
    </w:tbl>
    <w:p w:rsidR="003156AE" w:rsidRDefault="003156AE">
      <w:pPr>
        <w:spacing w:line="560" w:lineRule="exact"/>
        <w:ind w:firstLineChars="200" w:firstLine="480"/>
        <w:rPr>
          <w:rFonts w:ascii="仿宋" w:eastAsia="仿宋" w:hAnsi="仿宋" w:cs="Times New Roman"/>
          <w:sz w:val="24"/>
          <w:szCs w:val="24"/>
        </w:rPr>
      </w:pPr>
    </w:p>
    <w:p w:rsidR="003156AE" w:rsidRDefault="003156AE">
      <w:pPr>
        <w:rPr>
          <w:rFonts w:ascii="仿宋" w:eastAsia="仿宋" w:hAnsi="仿宋"/>
          <w:sz w:val="24"/>
          <w:szCs w:val="24"/>
        </w:rPr>
      </w:pPr>
    </w:p>
    <w:sectPr w:rsidR="003156AE" w:rsidSect="003156A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FBD" w:rsidRDefault="00836FBD" w:rsidP="003156AE">
      <w:r>
        <w:separator/>
      </w:r>
    </w:p>
  </w:endnote>
  <w:endnote w:type="continuationSeparator" w:id="0">
    <w:p w:rsidR="00836FBD" w:rsidRDefault="00836FBD" w:rsidP="00315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AE" w:rsidRDefault="003156AE">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3156AE" w:rsidRDefault="00836FBD">
                <w:pPr>
                  <w:pStyle w:val="a5"/>
                </w:pPr>
                <w:r>
                  <w:t>—</w:t>
                </w:r>
                <w:r>
                  <w:rPr>
                    <w:sz w:val="21"/>
                    <w:szCs w:val="21"/>
                  </w:rPr>
                  <w:t xml:space="preserve"> </w:t>
                </w:r>
                <w:r w:rsidR="003156AE">
                  <w:rPr>
                    <w:sz w:val="32"/>
                    <w:szCs w:val="32"/>
                  </w:rPr>
                  <w:fldChar w:fldCharType="begin"/>
                </w:r>
                <w:r>
                  <w:rPr>
                    <w:sz w:val="32"/>
                    <w:szCs w:val="32"/>
                  </w:rPr>
                  <w:instrText xml:space="preserve"> PAGE  \* MERGEFORMAT </w:instrText>
                </w:r>
                <w:r w:rsidR="003156AE">
                  <w:rPr>
                    <w:sz w:val="32"/>
                    <w:szCs w:val="32"/>
                  </w:rPr>
                  <w:fldChar w:fldCharType="separate"/>
                </w:r>
                <w:r w:rsidR="002A6EFB">
                  <w:rPr>
                    <w:noProof/>
                    <w:sz w:val="32"/>
                    <w:szCs w:val="32"/>
                  </w:rPr>
                  <w:t>1</w:t>
                </w:r>
                <w:r w:rsidR="003156AE">
                  <w:rPr>
                    <w:sz w:val="32"/>
                    <w:szCs w:val="32"/>
                  </w:rPr>
                  <w:fldChar w:fldCharType="end"/>
                </w:r>
                <w:r>
                  <w:rPr>
                    <w:sz w:val="32"/>
                    <w:szCs w:val="32"/>
                  </w:rPr>
                  <w:t xml:space="preserve"> </w:t>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FBD" w:rsidRDefault="00836FBD" w:rsidP="003156AE">
      <w:r>
        <w:separator/>
      </w:r>
    </w:p>
  </w:footnote>
  <w:footnote w:type="continuationSeparator" w:id="0">
    <w:p w:rsidR="00836FBD" w:rsidRDefault="00836FBD" w:rsidP="003156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M5YTk0MGExYTcxMmI1NGQ1YzMwMTAyMmNkYmQ4MjYifQ=="/>
  </w:docVars>
  <w:rsids>
    <w:rsidRoot w:val="192F1C53"/>
    <w:rsid w:val="000A39DD"/>
    <w:rsid w:val="000E4B69"/>
    <w:rsid w:val="000F72EC"/>
    <w:rsid w:val="0011333C"/>
    <w:rsid w:val="00181B06"/>
    <w:rsid w:val="001C54B0"/>
    <w:rsid w:val="0022764E"/>
    <w:rsid w:val="00253497"/>
    <w:rsid w:val="002A6EFB"/>
    <w:rsid w:val="002F2FAE"/>
    <w:rsid w:val="003156AE"/>
    <w:rsid w:val="00327ABC"/>
    <w:rsid w:val="00440BD1"/>
    <w:rsid w:val="00444802"/>
    <w:rsid w:val="00516F57"/>
    <w:rsid w:val="005677BB"/>
    <w:rsid w:val="005C24A7"/>
    <w:rsid w:val="006B37E9"/>
    <w:rsid w:val="00715E72"/>
    <w:rsid w:val="00760CDA"/>
    <w:rsid w:val="00777AAB"/>
    <w:rsid w:val="007F142F"/>
    <w:rsid w:val="00836FBD"/>
    <w:rsid w:val="009061D4"/>
    <w:rsid w:val="00955CC6"/>
    <w:rsid w:val="00985381"/>
    <w:rsid w:val="00A4016C"/>
    <w:rsid w:val="00A408FF"/>
    <w:rsid w:val="00A91351"/>
    <w:rsid w:val="00AD3527"/>
    <w:rsid w:val="00BA1A5A"/>
    <w:rsid w:val="00BF2CDA"/>
    <w:rsid w:val="00C5305A"/>
    <w:rsid w:val="00C94002"/>
    <w:rsid w:val="00CC67E8"/>
    <w:rsid w:val="00D34B28"/>
    <w:rsid w:val="00DD3614"/>
    <w:rsid w:val="00E57E6C"/>
    <w:rsid w:val="00F32136"/>
    <w:rsid w:val="02B7624C"/>
    <w:rsid w:val="03BE2C60"/>
    <w:rsid w:val="09C4763F"/>
    <w:rsid w:val="0DB168A5"/>
    <w:rsid w:val="192F1C53"/>
    <w:rsid w:val="1DB60D3B"/>
    <w:rsid w:val="24F67371"/>
    <w:rsid w:val="31A830A5"/>
    <w:rsid w:val="3244724D"/>
    <w:rsid w:val="36353F91"/>
    <w:rsid w:val="46A6035E"/>
    <w:rsid w:val="4F352220"/>
    <w:rsid w:val="53044727"/>
    <w:rsid w:val="53C92476"/>
    <w:rsid w:val="55AA19B9"/>
    <w:rsid w:val="596B427D"/>
    <w:rsid w:val="69C22F57"/>
    <w:rsid w:val="731C41B1"/>
    <w:rsid w:val="749B21CD"/>
    <w:rsid w:val="76F870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156AE"/>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autoRedefine/>
    <w:qFormat/>
    <w:rsid w:val="003156AE"/>
    <w:rPr>
      <w:rFonts w:ascii="宋体" w:hAnsi="Courier New"/>
      <w:kern w:val="0"/>
      <w:sz w:val="20"/>
      <w:szCs w:val="20"/>
    </w:rPr>
  </w:style>
  <w:style w:type="paragraph" w:styleId="a4">
    <w:name w:val="Balloon Text"/>
    <w:basedOn w:val="a"/>
    <w:link w:val="Char0"/>
    <w:qFormat/>
    <w:rsid w:val="003156AE"/>
    <w:rPr>
      <w:sz w:val="18"/>
      <w:szCs w:val="18"/>
    </w:rPr>
  </w:style>
  <w:style w:type="paragraph" w:styleId="a5">
    <w:name w:val="footer"/>
    <w:basedOn w:val="a"/>
    <w:link w:val="Char1"/>
    <w:qFormat/>
    <w:rsid w:val="003156AE"/>
    <w:pPr>
      <w:tabs>
        <w:tab w:val="center" w:pos="4153"/>
        <w:tab w:val="right" w:pos="8306"/>
      </w:tabs>
      <w:snapToGrid w:val="0"/>
      <w:jc w:val="left"/>
    </w:pPr>
    <w:rPr>
      <w:sz w:val="18"/>
      <w:szCs w:val="18"/>
    </w:rPr>
  </w:style>
  <w:style w:type="paragraph" w:styleId="a6">
    <w:name w:val="header"/>
    <w:basedOn w:val="a"/>
    <w:link w:val="Char2"/>
    <w:autoRedefine/>
    <w:qFormat/>
    <w:rsid w:val="003156A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156AE"/>
    <w:pPr>
      <w:widowControl/>
      <w:spacing w:before="100" w:beforeAutospacing="1" w:after="100" w:afterAutospacing="1"/>
      <w:jc w:val="left"/>
    </w:pPr>
    <w:rPr>
      <w:rFonts w:ascii="宋体" w:eastAsia="宋体" w:hAnsi="宋体" w:cs="宋体"/>
      <w:kern w:val="0"/>
      <w:sz w:val="24"/>
      <w:szCs w:val="24"/>
    </w:rPr>
  </w:style>
  <w:style w:type="character" w:styleId="a8">
    <w:name w:val="Strong"/>
    <w:autoRedefine/>
    <w:uiPriority w:val="22"/>
    <w:qFormat/>
    <w:rsid w:val="003156AE"/>
    <w:rPr>
      <w:b/>
      <w:bCs/>
    </w:rPr>
  </w:style>
  <w:style w:type="paragraph" w:styleId="a9">
    <w:name w:val="List Paragraph"/>
    <w:basedOn w:val="a"/>
    <w:uiPriority w:val="99"/>
    <w:unhideWhenUsed/>
    <w:qFormat/>
    <w:rsid w:val="003156AE"/>
    <w:pPr>
      <w:ind w:firstLineChars="200" w:firstLine="420"/>
    </w:pPr>
  </w:style>
  <w:style w:type="character" w:customStyle="1" w:styleId="Char2">
    <w:name w:val="页眉 Char"/>
    <w:basedOn w:val="a1"/>
    <w:link w:val="a6"/>
    <w:autoRedefine/>
    <w:qFormat/>
    <w:rsid w:val="003156AE"/>
    <w:rPr>
      <w:kern w:val="2"/>
      <w:sz w:val="18"/>
      <w:szCs w:val="18"/>
    </w:rPr>
  </w:style>
  <w:style w:type="character" w:customStyle="1" w:styleId="Char1">
    <w:name w:val="页脚 Char"/>
    <w:basedOn w:val="a1"/>
    <w:link w:val="a5"/>
    <w:autoRedefine/>
    <w:qFormat/>
    <w:rsid w:val="003156AE"/>
    <w:rPr>
      <w:kern w:val="2"/>
      <w:sz w:val="18"/>
      <w:szCs w:val="18"/>
    </w:rPr>
  </w:style>
  <w:style w:type="character" w:customStyle="1" w:styleId="Char0">
    <w:name w:val="批注框文本 Char"/>
    <w:basedOn w:val="a1"/>
    <w:link w:val="a4"/>
    <w:qFormat/>
    <w:rsid w:val="003156AE"/>
    <w:rPr>
      <w:rFonts w:asciiTheme="minorHAnsi" w:eastAsiaTheme="minorEastAsia" w:hAnsiTheme="minorHAnsi" w:cstheme="minorBidi"/>
      <w:kern w:val="2"/>
      <w:sz w:val="18"/>
      <w:szCs w:val="18"/>
    </w:rPr>
  </w:style>
  <w:style w:type="character" w:customStyle="1" w:styleId="Char">
    <w:name w:val="纯文本 Char"/>
    <w:link w:val="a0"/>
    <w:qFormat/>
    <w:rsid w:val="003156AE"/>
    <w:rPr>
      <w:rFonts w:ascii="宋体" w:eastAsiaTheme="minorEastAsia" w:hAnsi="Courier New"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E2C4E-C7DB-4DBF-8F72-B105989E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Words>
  <Characters>1146</Characters>
  <Application>Microsoft Office Word</Application>
  <DocSecurity>0</DocSecurity>
  <Lines>9</Lines>
  <Paragraphs>2</Paragraphs>
  <ScaleCrop>false</ScaleCrop>
  <Company>Microsoft</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Administrator</cp:lastModifiedBy>
  <cp:revision>2</cp:revision>
  <cp:lastPrinted>2025-11-18T08:47:00Z</cp:lastPrinted>
  <dcterms:created xsi:type="dcterms:W3CDTF">2025-11-18T09:00:00Z</dcterms:created>
  <dcterms:modified xsi:type="dcterms:W3CDTF">2025-11-18T09:00:00Z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y fmtid="{D5CDD505-2E9C-101B-9397-08002B2CF9AE}" pid="5" name="KSOTemplateDocerSaveRecord">
    <vt:lpwstr>eyJoZGlkIjoiNzM5YTk0MGExYTcxMmI1NGQ1YzMwMTAyMmNkYmQ4MjYiLCJ1c2VySWQiOiI3NTAyNDEwOTgifQ==</vt:lpwstr>
  </property>
</Properties>
</file>