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F0E2A2">
      <w:pPr>
        <w:spacing w:line="500" w:lineRule="exact"/>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附件2</w:t>
      </w:r>
    </w:p>
    <w:p w14:paraId="7A3AEBC6">
      <w:pPr>
        <w:snapToGrid w:val="0"/>
        <w:spacing w:line="560" w:lineRule="exact"/>
        <w:jc w:val="center"/>
        <w:rPr>
          <w:rFonts w:hint="default" w:ascii="Times New Roman" w:hAnsi="Times New Roman" w:eastAsia="方正大标宋_GBK" w:cs="Times New Roman"/>
          <w:sz w:val="42"/>
          <w:szCs w:val="42"/>
        </w:rPr>
      </w:pPr>
      <w:r>
        <w:rPr>
          <w:rFonts w:hint="default" w:ascii="Times New Roman" w:hAnsi="Times New Roman" w:eastAsia="方正大标宋_GBK" w:cs="Times New Roman"/>
          <w:sz w:val="42"/>
          <w:szCs w:val="42"/>
        </w:rPr>
        <w:t>评分表</w:t>
      </w:r>
    </w:p>
    <w:tbl>
      <w:tblPr>
        <w:tblStyle w:val="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6"/>
        <w:gridCol w:w="691"/>
        <w:gridCol w:w="9040"/>
        <w:gridCol w:w="734"/>
        <w:gridCol w:w="950"/>
        <w:gridCol w:w="952"/>
        <w:gridCol w:w="961"/>
      </w:tblGrid>
      <w:tr w14:paraId="4324DE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tblHeader/>
          <w:jc w:val="center"/>
        </w:trPr>
        <w:tc>
          <w:tcPr>
            <w:tcW w:w="298" w:type="pct"/>
            <w:tcBorders>
              <w:top w:val="single" w:color="auto" w:sz="12" w:space="0"/>
              <w:left w:val="single" w:color="auto" w:sz="12" w:space="0"/>
              <w:bottom w:val="single" w:color="auto" w:sz="6" w:space="0"/>
              <w:right w:val="single" w:color="auto" w:sz="6" w:space="0"/>
            </w:tcBorders>
            <w:noWrap w:val="0"/>
            <w:vAlign w:val="center"/>
          </w:tcPr>
          <w:p w14:paraId="16993E25">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序号</w:t>
            </w:r>
          </w:p>
        </w:tc>
        <w:tc>
          <w:tcPr>
            <w:tcW w:w="244" w:type="pct"/>
            <w:tcBorders>
              <w:top w:val="single" w:color="auto" w:sz="12" w:space="0"/>
              <w:left w:val="single" w:color="auto" w:sz="6" w:space="0"/>
              <w:bottom w:val="single" w:color="auto" w:sz="6" w:space="0"/>
              <w:right w:val="single" w:color="auto" w:sz="6" w:space="0"/>
            </w:tcBorders>
            <w:noWrap w:val="0"/>
            <w:vAlign w:val="center"/>
          </w:tcPr>
          <w:p w14:paraId="3C18CE4E">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评审</w:t>
            </w:r>
          </w:p>
          <w:p w14:paraId="263C980E">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因素</w:t>
            </w:r>
          </w:p>
        </w:tc>
        <w:tc>
          <w:tcPr>
            <w:tcW w:w="3188" w:type="pct"/>
            <w:tcBorders>
              <w:top w:val="single" w:color="auto" w:sz="12" w:space="0"/>
              <w:left w:val="single" w:color="auto" w:sz="6" w:space="0"/>
              <w:bottom w:val="single" w:color="auto" w:sz="6" w:space="0"/>
              <w:right w:val="single" w:color="auto" w:sz="6" w:space="0"/>
            </w:tcBorders>
            <w:noWrap w:val="0"/>
            <w:vAlign w:val="center"/>
          </w:tcPr>
          <w:p w14:paraId="3E232C13">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评分细则</w:t>
            </w:r>
          </w:p>
        </w:tc>
        <w:tc>
          <w:tcPr>
            <w:tcW w:w="259" w:type="pct"/>
            <w:tcBorders>
              <w:top w:val="single" w:color="auto" w:sz="12" w:space="0"/>
              <w:left w:val="single" w:color="auto" w:sz="6" w:space="0"/>
              <w:bottom w:val="single" w:color="auto" w:sz="6" w:space="0"/>
              <w:right w:val="single" w:color="auto" w:sz="6" w:space="0"/>
            </w:tcBorders>
            <w:noWrap w:val="0"/>
            <w:vAlign w:val="center"/>
          </w:tcPr>
          <w:p w14:paraId="0616E9A7">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分值（分）</w:t>
            </w:r>
          </w:p>
        </w:tc>
        <w:tc>
          <w:tcPr>
            <w:tcW w:w="335" w:type="pct"/>
            <w:tcBorders>
              <w:top w:val="single" w:color="auto" w:sz="12" w:space="0"/>
              <w:left w:val="single" w:color="auto" w:sz="6" w:space="0"/>
              <w:bottom w:val="single" w:color="auto" w:sz="6" w:space="0"/>
              <w:right w:val="single" w:color="auto" w:sz="6" w:space="0"/>
            </w:tcBorders>
            <w:noWrap w:val="0"/>
            <w:vAlign w:val="center"/>
          </w:tcPr>
          <w:p w14:paraId="4FCC113E">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供应商1</w:t>
            </w:r>
          </w:p>
          <w:p w14:paraId="5D1737BE">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得分（分）</w:t>
            </w:r>
          </w:p>
        </w:tc>
        <w:tc>
          <w:tcPr>
            <w:tcW w:w="336" w:type="pct"/>
            <w:tcBorders>
              <w:top w:val="single" w:color="auto" w:sz="12" w:space="0"/>
              <w:left w:val="single" w:color="auto" w:sz="6" w:space="0"/>
              <w:bottom w:val="single" w:color="auto" w:sz="6" w:space="0"/>
              <w:right w:val="single" w:color="auto" w:sz="6" w:space="0"/>
            </w:tcBorders>
            <w:noWrap w:val="0"/>
            <w:vAlign w:val="center"/>
          </w:tcPr>
          <w:p w14:paraId="6E21C510">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供应商2</w:t>
            </w:r>
          </w:p>
          <w:p w14:paraId="62D077AD">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得分（分）</w:t>
            </w:r>
          </w:p>
        </w:tc>
        <w:tc>
          <w:tcPr>
            <w:tcW w:w="335" w:type="pct"/>
            <w:tcBorders>
              <w:top w:val="single" w:color="auto" w:sz="12" w:space="0"/>
              <w:left w:val="single" w:color="auto" w:sz="6" w:space="0"/>
              <w:bottom w:val="single" w:color="auto" w:sz="6" w:space="0"/>
              <w:right w:val="single" w:color="auto" w:sz="6" w:space="0"/>
            </w:tcBorders>
            <w:noWrap w:val="0"/>
            <w:vAlign w:val="center"/>
          </w:tcPr>
          <w:p w14:paraId="1452A158">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供应商3</w:t>
            </w:r>
          </w:p>
          <w:p w14:paraId="37E98AFB">
            <w:pPr>
              <w:autoSpaceDE w:val="0"/>
              <w:autoSpaceDN w:val="0"/>
              <w:adjustRightInd w:val="0"/>
              <w:snapToGrid w:val="0"/>
              <w:spacing w:line="300" w:lineRule="exact"/>
              <w:ind w:left="-78" w:leftChars="-37" w:right="-73" w:rightChars="-35"/>
              <w:jc w:val="center"/>
              <w:rPr>
                <w:rFonts w:hint="default" w:ascii="Times New Roman" w:hAnsi="Times New Roman" w:eastAsia="方正黑体_GBK" w:cs="Times New Roman"/>
                <w:kern w:val="0"/>
                <w:szCs w:val="21"/>
              </w:rPr>
            </w:pPr>
            <w:r>
              <w:rPr>
                <w:rFonts w:hint="default" w:ascii="Times New Roman" w:hAnsi="Times New Roman" w:eastAsia="方正黑体_GBK" w:cs="Times New Roman"/>
                <w:kern w:val="0"/>
                <w:szCs w:val="21"/>
              </w:rPr>
              <w:t>得分（分）</w:t>
            </w:r>
          </w:p>
        </w:tc>
      </w:tr>
      <w:tr w14:paraId="7E53C6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12" w:space="0"/>
              <w:left w:val="single" w:color="auto" w:sz="12" w:space="0"/>
              <w:bottom w:val="single" w:color="auto" w:sz="6" w:space="0"/>
              <w:right w:val="single" w:color="auto" w:sz="6" w:space="0"/>
            </w:tcBorders>
            <w:noWrap w:val="0"/>
            <w:vAlign w:val="center"/>
          </w:tcPr>
          <w:p w14:paraId="508E2CDB">
            <w:pPr>
              <w:autoSpaceDE w:val="0"/>
              <w:autoSpaceDN w:val="0"/>
              <w:adjustRightInd w:val="0"/>
              <w:snapToGrid w:val="0"/>
              <w:spacing w:line="300" w:lineRule="exact"/>
              <w:ind w:left="-78" w:leftChars="-37" w:right="-73" w:rightChars="-35"/>
              <w:jc w:val="center"/>
              <w:rPr>
                <w:rFonts w:hint="default" w:ascii="Times New Roman" w:hAnsi="Times New Roman" w:eastAsia="黑体" w:cs="Times New Roman"/>
                <w:kern w:val="0"/>
                <w:szCs w:val="21"/>
                <w:highlight w:val="none"/>
              </w:rPr>
            </w:pPr>
            <w:r>
              <w:rPr>
                <w:rFonts w:hint="default" w:ascii="Times New Roman" w:hAnsi="Times New Roman" w:eastAsia="黑体" w:cs="Times New Roman"/>
                <w:kern w:val="0"/>
                <w:szCs w:val="21"/>
                <w:highlight w:val="none"/>
              </w:rPr>
              <w:t>一、技术部分（</w:t>
            </w:r>
            <w:r>
              <w:rPr>
                <w:rFonts w:hint="eastAsia" w:ascii="Times New Roman" w:hAnsi="Times New Roman" w:eastAsia="黑体" w:cs="Times New Roman"/>
                <w:kern w:val="0"/>
                <w:szCs w:val="21"/>
                <w:highlight w:val="none"/>
                <w:lang w:val="en-US" w:eastAsia="zh-CN"/>
              </w:rPr>
              <w:t>30</w:t>
            </w:r>
            <w:r>
              <w:rPr>
                <w:rFonts w:hint="default" w:ascii="Times New Roman" w:hAnsi="Times New Roman" w:eastAsia="黑体" w:cs="Times New Roman"/>
                <w:kern w:val="0"/>
                <w:szCs w:val="21"/>
                <w:highlight w:val="none"/>
              </w:rPr>
              <w:t>分）</w:t>
            </w:r>
          </w:p>
        </w:tc>
      </w:tr>
      <w:tr w14:paraId="3DF4EC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noWrap w:val="0"/>
            <w:vAlign w:val="center"/>
          </w:tcPr>
          <w:p w14:paraId="6D248D08">
            <w:pPr>
              <w:autoSpaceDE w:val="0"/>
              <w:autoSpaceDN w:val="0"/>
              <w:adjustRightInd w:val="0"/>
              <w:snapToGrid w:val="0"/>
              <w:spacing w:line="300" w:lineRule="exact"/>
              <w:jc w:val="center"/>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（一）</w:t>
            </w:r>
          </w:p>
        </w:tc>
        <w:tc>
          <w:tcPr>
            <w:tcW w:w="244" w:type="pct"/>
            <w:tcBorders>
              <w:top w:val="single" w:color="auto" w:sz="6" w:space="0"/>
              <w:left w:val="single" w:color="auto" w:sz="6" w:space="0"/>
              <w:bottom w:val="single" w:color="auto" w:sz="6" w:space="0"/>
              <w:right w:val="single" w:color="auto" w:sz="6" w:space="0"/>
            </w:tcBorders>
            <w:noWrap w:val="0"/>
            <w:vAlign w:val="center"/>
          </w:tcPr>
          <w:p w14:paraId="429806E7">
            <w:pPr>
              <w:spacing w:line="3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实施方案</w:t>
            </w:r>
          </w:p>
        </w:tc>
        <w:tc>
          <w:tcPr>
            <w:tcW w:w="3188" w:type="pct"/>
            <w:tcBorders>
              <w:top w:val="single" w:color="auto" w:sz="6" w:space="0"/>
              <w:left w:val="single" w:color="auto" w:sz="6" w:space="0"/>
              <w:bottom w:val="single" w:color="auto" w:sz="6" w:space="0"/>
              <w:right w:val="single" w:color="auto" w:sz="6" w:space="0"/>
            </w:tcBorders>
            <w:noWrap w:val="0"/>
            <w:vAlign w:val="center"/>
          </w:tcPr>
          <w:p w14:paraId="697A321C">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根据供应商针对本项目的实施方案进行评审：</w:t>
            </w:r>
          </w:p>
          <w:p w14:paraId="40B5272D">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1.对项目背景、工作目标及工作内容的理解和认识准确、深入，项目实施方案完整详细、科学合理、可行性强，有针对性，响应情况满足或优于采购文件要求的，得20分；</w:t>
            </w:r>
          </w:p>
          <w:p w14:paraId="07E4CFCF">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2.对项目背景、工作目标及工作内容的理解和认识准确，项目实施方案详细、合理、具有一定的可行性，响应情况大部分能满足采购文件要求的，得15分；</w:t>
            </w:r>
          </w:p>
          <w:p w14:paraId="7095B9B4">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3.基本理解和认识项目背景、工作目标及工作内容，项目实施方案完整、但可行性不足，响应情况部分能满足采购文件要求，得10分；</w:t>
            </w:r>
          </w:p>
          <w:p w14:paraId="15FF6452">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4.未能全面理解和认识项目背景、工作目标及工作内容，项目实施方案不详细，响应情况不能满足采购文件要求，得5分；</w:t>
            </w:r>
          </w:p>
          <w:p w14:paraId="623250BC">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5.未提交响应内容或其他情况，不得分。</w:t>
            </w:r>
          </w:p>
        </w:tc>
        <w:tc>
          <w:tcPr>
            <w:tcW w:w="259" w:type="pct"/>
            <w:tcBorders>
              <w:top w:val="single" w:color="auto" w:sz="6" w:space="0"/>
              <w:left w:val="single" w:color="auto" w:sz="6" w:space="0"/>
              <w:bottom w:val="single" w:color="auto" w:sz="6" w:space="0"/>
              <w:right w:val="single" w:color="auto" w:sz="6" w:space="0"/>
            </w:tcBorders>
            <w:noWrap w:val="0"/>
            <w:vAlign w:val="center"/>
          </w:tcPr>
          <w:p w14:paraId="265F605A">
            <w:pPr>
              <w:autoSpaceDE w:val="0"/>
              <w:autoSpaceDN w:val="0"/>
              <w:adjustRightInd w:val="0"/>
              <w:snapToGrid w:val="0"/>
              <w:spacing w:line="300" w:lineRule="exact"/>
              <w:jc w:val="center"/>
              <w:rPr>
                <w:rFonts w:hint="default" w:ascii="Times New Roman" w:hAnsi="Times New Roman" w:eastAsia="方正仿宋_GBK" w:cs="Times New Roman"/>
                <w:bCs/>
                <w:kern w:val="0"/>
                <w:szCs w:val="21"/>
              </w:rPr>
            </w:pPr>
            <w:r>
              <w:rPr>
                <w:rFonts w:hint="default" w:ascii="Times New Roman" w:hAnsi="Times New Roman" w:eastAsia="方正仿宋_GBK" w:cs="Times New Roman"/>
                <w:bCs/>
                <w:kern w:val="0"/>
                <w:szCs w:val="21"/>
              </w:rPr>
              <w:t>20</w:t>
            </w:r>
          </w:p>
        </w:tc>
        <w:tc>
          <w:tcPr>
            <w:tcW w:w="335" w:type="pct"/>
            <w:tcBorders>
              <w:top w:val="single" w:color="auto" w:sz="6" w:space="0"/>
              <w:left w:val="single" w:color="auto" w:sz="6" w:space="0"/>
              <w:bottom w:val="single" w:color="auto" w:sz="6" w:space="0"/>
              <w:right w:val="single" w:color="auto" w:sz="6" w:space="0"/>
            </w:tcBorders>
            <w:noWrap w:val="0"/>
            <w:vAlign w:val="top"/>
          </w:tcPr>
          <w:p w14:paraId="2E4AF34D">
            <w:pPr>
              <w:autoSpaceDE w:val="0"/>
              <w:autoSpaceDN w:val="0"/>
              <w:adjustRightInd w:val="0"/>
              <w:snapToGrid w:val="0"/>
              <w:spacing w:line="300" w:lineRule="exact"/>
              <w:jc w:val="center"/>
              <w:rPr>
                <w:rFonts w:hint="default" w:ascii="Times New Roman" w:hAnsi="Times New Roman" w:eastAsia="方正仿宋_GBK" w:cs="Times New Roman"/>
                <w:kern w:val="0"/>
                <w:szCs w:val="21"/>
              </w:rPr>
            </w:pPr>
          </w:p>
        </w:tc>
        <w:tc>
          <w:tcPr>
            <w:tcW w:w="336" w:type="pct"/>
            <w:tcBorders>
              <w:top w:val="single" w:color="auto" w:sz="6" w:space="0"/>
              <w:left w:val="single" w:color="auto" w:sz="6" w:space="0"/>
              <w:bottom w:val="single" w:color="auto" w:sz="6" w:space="0"/>
              <w:right w:val="single" w:color="auto" w:sz="6" w:space="0"/>
            </w:tcBorders>
            <w:noWrap w:val="0"/>
            <w:vAlign w:val="top"/>
          </w:tcPr>
          <w:p w14:paraId="63B5E151">
            <w:pPr>
              <w:autoSpaceDE w:val="0"/>
              <w:autoSpaceDN w:val="0"/>
              <w:adjustRightInd w:val="0"/>
              <w:snapToGrid w:val="0"/>
              <w:spacing w:line="300" w:lineRule="exact"/>
              <w:jc w:val="center"/>
              <w:rPr>
                <w:rFonts w:hint="default" w:ascii="Times New Roman" w:hAnsi="Times New Roman" w:eastAsia="方正仿宋_GBK" w:cs="Times New Roman"/>
                <w:kern w:val="0"/>
                <w:szCs w:val="21"/>
              </w:rPr>
            </w:pPr>
          </w:p>
        </w:tc>
        <w:tc>
          <w:tcPr>
            <w:tcW w:w="335" w:type="pct"/>
            <w:tcBorders>
              <w:top w:val="single" w:color="auto" w:sz="6" w:space="0"/>
              <w:left w:val="single" w:color="auto" w:sz="6" w:space="0"/>
              <w:bottom w:val="single" w:color="auto" w:sz="6" w:space="0"/>
              <w:right w:val="single" w:color="auto" w:sz="6" w:space="0"/>
            </w:tcBorders>
            <w:noWrap w:val="0"/>
            <w:vAlign w:val="top"/>
          </w:tcPr>
          <w:p w14:paraId="09AEFD88">
            <w:pPr>
              <w:autoSpaceDE w:val="0"/>
              <w:autoSpaceDN w:val="0"/>
              <w:adjustRightInd w:val="0"/>
              <w:snapToGrid w:val="0"/>
              <w:spacing w:line="300" w:lineRule="exact"/>
              <w:jc w:val="center"/>
              <w:rPr>
                <w:rFonts w:hint="default" w:ascii="Times New Roman" w:hAnsi="Times New Roman" w:eastAsia="方正仿宋_GBK" w:cs="Times New Roman"/>
                <w:kern w:val="0"/>
                <w:szCs w:val="21"/>
              </w:rPr>
            </w:pPr>
          </w:p>
        </w:tc>
      </w:tr>
      <w:tr w14:paraId="1497ED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noWrap w:val="0"/>
            <w:vAlign w:val="center"/>
          </w:tcPr>
          <w:p w14:paraId="4625D109">
            <w:pPr>
              <w:autoSpaceDE w:val="0"/>
              <w:autoSpaceDN w:val="0"/>
              <w:adjustRightInd w:val="0"/>
              <w:snapToGrid w:val="0"/>
              <w:spacing w:line="300" w:lineRule="exact"/>
              <w:jc w:val="center"/>
              <w:rPr>
                <w:rFonts w:hint="default" w:ascii="Times New Roman" w:hAnsi="Times New Roman" w:eastAsia="方正仿宋_GBK" w:cs="Times New Roman"/>
                <w:bCs/>
                <w:szCs w:val="21"/>
                <w:highlight w:val="none"/>
              </w:rPr>
            </w:pPr>
            <w:r>
              <w:rPr>
                <w:rFonts w:hint="default" w:ascii="Times New Roman" w:hAnsi="Times New Roman" w:eastAsia="方正仿宋_GBK" w:cs="Times New Roman"/>
                <w:bCs/>
                <w:szCs w:val="21"/>
                <w:highlight w:val="none"/>
              </w:rPr>
              <w:t>（二）</w:t>
            </w:r>
          </w:p>
        </w:tc>
        <w:tc>
          <w:tcPr>
            <w:tcW w:w="244" w:type="pct"/>
            <w:tcBorders>
              <w:top w:val="single" w:color="auto" w:sz="6" w:space="0"/>
              <w:left w:val="single" w:color="auto" w:sz="6" w:space="0"/>
              <w:bottom w:val="single" w:color="auto" w:sz="6" w:space="0"/>
              <w:right w:val="single" w:color="auto" w:sz="6" w:space="0"/>
            </w:tcBorders>
            <w:noWrap w:val="0"/>
            <w:vAlign w:val="center"/>
          </w:tcPr>
          <w:p w14:paraId="1425258A">
            <w:pPr>
              <w:spacing w:line="300" w:lineRule="exact"/>
              <w:jc w:val="center"/>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质量保证措施</w:t>
            </w:r>
          </w:p>
        </w:tc>
        <w:tc>
          <w:tcPr>
            <w:tcW w:w="3188" w:type="pct"/>
            <w:tcBorders>
              <w:top w:val="single" w:color="auto" w:sz="6" w:space="0"/>
              <w:left w:val="single" w:color="auto" w:sz="6" w:space="0"/>
              <w:bottom w:val="single" w:color="auto" w:sz="6" w:space="0"/>
              <w:right w:val="single" w:color="auto" w:sz="6" w:space="0"/>
            </w:tcBorders>
            <w:noWrap w:val="0"/>
            <w:vAlign w:val="center"/>
          </w:tcPr>
          <w:p w14:paraId="670A0369">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根据供应商的成果质量保证措施和进度保障措施是否全面、合理等进行评审：</w:t>
            </w:r>
          </w:p>
          <w:p w14:paraId="5D8BB806">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1.项目成果质量保证和进度保障措施全面、合理、得当的，得</w:t>
            </w:r>
            <w:r>
              <w:rPr>
                <w:rFonts w:hint="eastAsia" w:ascii="Times New Roman" w:hAnsi="Times New Roman" w:eastAsia="方正仿宋_GBK" w:cs="Times New Roman"/>
                <w:szCs w:val="21"/>
                <w:highlight w:val="none"/>
                <w:lang w:val="en-US" w:eastAsia="zh-CN"/>
              </w:rPr>
              <w:t>10</w:t>
            </w:r>
            <w:r>
              <w:rPr>
                <w:rFonts w:hint="default" w:ascii="Times New Roman" w:hAnsi="Times New Roman" w:eastAsia="方正仿宋_GBK" w:cs="Times New Roman"/>
                <w:szCs w:val="21"/>
                <w:highlight w:val="none"/>
              </w:rPr>
              <w:t>分；</w:t>
            </w:r>
          </w:p>
          <w:p w14:paraId="048F162A">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2.项目成果质量保证和进度保障措施较全面、较合理、较得当的，得</w:t>
            </w:r>
            <w:r>
              <w:rPr>
                <w:rFonts w:hint="default" w:ascii="Times New Roman" w:hAnsi="Times New Roman" w:eastAsia="方正仿宋_GBK" w:cs="Times New Roman"/>
                <w:szCs w:val="21"/>
                <w:highlight w:val="none"/>
                <w:lang w:val="en-US" w:eastAsia="zh-CN"/>
              </w:rPr>
              <w:t>5</w:t>
            </w:r>
            <w:r>
              <w:rPr>
                <w:rFonts w:hint="default" w:ascii="Times New Roman" w:hAnsi="Times New Roman" w:eastAsia="方正仿宋_GBK" w:cs="Times New Roman"/>
                <w:szCs w:val="21"/>
                <w:highlight w:val="none"/>
              </w:rPr>
              <w:t>分；</w:t>
            </w:r>
          </w:p>
          <w:p w14:paraId="2EFF2C4D">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3.项目成果质量保证和进度保障措施一般的，得3分；</w:t>
            </w:r>
          </w:p>
          <w:p w14:paraId="3FCD9877">
            <w:pPr>
              <w:spacing w:line="300" w:lineRule="exact"/>
              <w:rPr>
                <w:rFonts w:hint="default" w:ascii="Times New Roman" w:hAnsi="Times New Roman" w:eastAsia="方正仿宋_GBK" w:cs="Times New Roman"/>
                <w:szCs w:val="21"/>
                <w:highlight w:val="none"/>
              </w:rPr>
            </w:pPr>
            <w:r>
              <w:rPr>
                <w:rFonts w:hint="default" w:ascii="Times New Roman" w:hAnsi="Times New Roman" w:eastAsia="方正仿宋_GBK" w:cs="Times New Roman"/>
                <w:szCs w:val="21"/>
                <w:highlight w:val="none"/>
              </w:rPr>
              <w:t>4.没有的不得分。</w:t>
            </w:r>
          </w:p>
        </w:tc>
        <w:tc>
          <w:tcPr>
            <w:tcW w:w="259" w:type="pct"/>
            <w:tcBorders>
              <w:top w:val="single" w:color="auto" w:sz="6" w:space="0"/>
              <w:left w:val="single" w:color="auto" w:sz="6" w:space="0"/>
              <w:bottom w:val="single" w:color="auto" w:sz="6" w:space="0"/>
              <w:right w:val="single" w:color="auto" w:sz="6" w:space="0"/>
            </w:tcBorders>
            <w:noWrap w:val="0"/>
            <w:vAlign w:val="center"/>
          </w:tcPr>
          <w:p w14:paraId="1DE11F08">
            <w:pPr>
              <w:autoSpaceDE w:val="0"/>
              <w:autoSpaceDN w:val="0"/>
              <w:adjustRightInd w:val="0"/>
              <w:snapToGrid w:val="0"/>
              <w:spacing w:line="300" w:lineRule="exact"/>
              <w:jc w:val="center"/>
              <w:rPr>
                <w:rFonts w:hint="default" w:ascii="Times New Roman" w:hAnsi="Times New Roman" w:eastAsia="方正仿宋_GBK" w:cs="Times New Roman"/>
                <w:bCs/>
                <w:kern w:val="0"/>
                <w:szCs w:val="21"/>
                <w:highlight w:val="none"/>
                <w:lang w:val="en-US" w:eastAsia="zh-CN"/>
              </w:rPr>
            </w:pPr>
            <w:r>
              <w:rPr>
                <w:rFonts w:hint="eastAsia" w:ascii="Times New Roman" w:hAnsi="Times New Roman" w:eastAsia="方正仿宋_GBK" w:cs="Times New Roman"/>
                <w:bCs/>
                <w:kern w:val="0"/>
                <w:szCs w:val="21"/>
                <w:highlight w:val="none"/>
                <w:lang w:val="en-US" w:eastAsia="zh-CN"/>
              </w:rPr>
              <w:t>10</w:t>
            </w:r>
          </w:p>
        </w:tc>
        <w:tc>
          <w:tcPr>
            <w:tcW w:w="335" w:type="pct"/>
            <w:tcBorders>
              <w:top w:val="single" w:color="auto" w:sz="6" w:space="0"/>
              <w:left w:val="single" w:color="auto" w:sz="6" w:space="0"/>
              <w:bottom w:val="single" w:color="auto" w:sz="6" w:space="0"/>
              <w:right w:val="single" w:color="auto" w:sz="6" w:space="0"/>
            </w:tcBorders>
            <w:noWrap w:val="0"/>
            <w:vAlign w:val="top"/>
          </w:tcPr>
          <w:p w14:paraId="6F0F3BDF">
            <w:pPr>
              <w:autoSpaceDE w:val="0"/>
              <w:autoSpaceDN w:val="0"/>
              <w:adjustRightInd w:val="0"/>
              <w:snapToGrid w:val="0"/>
              <w:spacing w:line="300" w:lineRule="exact"/>
              <w:jc w:val="center"/>
              <w:rPr>
                <w:rFonts w:hint="default" w:ascii="Times New Roman" w:hAnsi="Times New Roman" w:eastAsia="方正仿宋_GBK" w:cs="Times New Roman"/>
                <w:kern w:val="0"/>
                <w:szCs w:val="21"/>
                <w:highlight w:val="none"/>
              </w:rPr>
            </w:pPr>
          </w:p>
        </w:tc>
        <w:tc>
          <w:tcPr>
            <w:tcW w:w="336" w:type="pct"/>
            <w:tcBorders>
              <w:top w:val="single" w:color="auto" w:sz="6" w:space="0"/>
              <w:left w:val="single" w:color="auto" w:sz="6" w:space="0"/>
              <w:bottom w:val="single" w:color="auto" w:sz="6" w:space="0"/>
              <w:right w:val="single" w:color="auto" w:sz="6" w:space="0"/>
            </w:tcBorders>
            <w:noWrap w:val="0"/>
            <w:vAlign w:val="top"/>
          </w:tcPr>
          <w:p w14:paraId="6AA1C2E6">
            <w:pPr>
              <w:autoSpaceDE w:val="0"/>
              <w:autoSpaceDN w:val="0"/>
              <w:adjustRightInd w:val="0"/>
              <w:snapToGrid w:val="0"/>
              <w:spacing w:line="300" w:lineRule="exact"/>
              <w:jc w:val="center"/>
              <w:rPr>
                <w:rFonts w:hint="default" w:ascii="Times New Roman" w:hAnsi="Times New Roman" w:eastAsia="方正仿宋_GBK" w:cs="Times New Roman"/>
                <w:kern w:val="0"/>
                <w:szCs w:val="21"/>
                <w:highlight w:val="none"/>
              </w:rPr>
            </w:pPr>
          </w:p>
        </w:tc>
        <w:tc>
          <w:tcPr>
            <w:tcW w:w="335" w:type="pct"/>
            <w:tcBorders>
              <w:top w:val="single" w:color="auto" w:sz="6" w:space="0"/>
              <w:left w:val="single" w:color="auto" w:sz="6" w:space="0"/>
              <w:bottom w:val="single" w:color="auto" w:sz="6" w:space="0"/>
              <w:right w:val="single" w:color="auto" w:sz="6" w:space="0"/>
            </w:tcBorders>
            <w:noWrap w:val="0"/>
            <w:vAlign w:val="top"/>
          </w:tcPr>
          <w:p w14:paraId="66FA1986">
            <w:pPr>
              <w:autoSpaceDE w:val="0"/>
              <w:autoSpaceDN w:val="0"/>
              <w:adjustRightInd w:val="0"/>
              <w:snapToGrid w:val="0"/>
              <w:spacing w:line="300" w:lineRule="exact"/>
              <w:jc w:val="center"/>
              <w:rPr>
                <w:rFonts w:hint="default" w:ascii="Times New Roman" w:hAnsi="Times New Roman" w:eastAsia="方正仿宋_GBK" w:cs="Times New Roman"/>
                <w:kern w:val="0"/>
                <w:szCs w:val="21"/>
                <w:highlight w:val="none"/>
              </w:rPr>
            </w:pPr>
          </w:p>
        </w:tc>
      </w:tr>
      <w:tr w14:paraId="724B8E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6" w:space="0"/>
              <w:left w:val="single" w:color="auto" w:sz="12" w:space="0"/>
              <w:bottom w:val="single" w:color="auto" w:sz="6" w:space="0"/>
              <w:right w:val="single" w:color="auto" w:sz="6" w:space="0"/>
            </w:tcBorders>
            <w:noWrap w:val="0"/>
            <w:vAlign w:val="center"/>
          </w:tcPr>
          <w:p w14:paraId="342918BF">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二、商务部分（5</w:t>
            </w:r>
            <w:r>
              <w:rPr>
                <w:rFonts w:hint="eastAsia" w:ascii="Times New Roman" w:hAnsi="Times New Roman" w:eastAsia="方正仿宋_GBK" w:cs="Times New Roman"/>
                <w:kern w:val="0"/>
                <w:szCs w:val="21"/>
                <w:lang w:val="en-US" w:eastAsia="zh-CN"/>
              </w:rPr>
              <w:t>0</w:t>
            </w:r>
            <w:r>
              <w:rPr>
                <w:rFonts w:hint="default" w:ascii="Times New Roman" w:hAnsi="Times New Roman" w:eastAsia="方正仿宋_GBK" w:cs="Times New Roman"/>
                <w:kern w:val="0"/>
                <w:szCs w:val="21"/>
              </w:rPr>
              <w:t>分）</w:t>
            </w:r>
          </w:p>
        </w:tc>
      </w:tr>
      <w:tr w14:paraId="6344FB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noWrap w:val="0"/>
            <w:vAlign w:val="center"/>
          </w:tcPr>
          <w:p w14:paraId="70F7893A">
            <w:pPr>
              <w:autoSpaceDE w:val="0"/>
              <w:autoSpaceDN w:val="0"/>
              <w:adjustRightInd w:val="0"/>
              <w:snapToGrid w:val="0"/>
              <w:spacing w:line="300" w:lineRule="exact"/>
              <w:jc w:val="center"/>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w:t>
            </w:r>
            <w:r>
              <w:rPr>
                <w:rFonts w:hint="eastAsia" w:ascii="Times New Roman" w:hAnsi="Times New Roman" w:eastAsia="方正仿宋_GBK" w:cs="Times New Roman"/>
                <w:bCs/>
                <w:color w:val="000000"/>
                <w:szCs w:val="21"/>
                <w:lang w:eastAsia="zh-CN"/>
              </w:rPr>
              <w:t>三</w:t>
            </w:r>
            <w:r>
              <w:rPr>
                <w:rFonts w:hint="default" w:ascii="Times New Roman" w:hAnsi="Times New Roman" w:eastAsia="方正仿宋_GBK" w:cs="Times New Roman"/>
                <w:bCs/>
                <w:color w:val="000000"/>
                <w:szCs w:val="21"/>
              </w:rPr>
              <w:t>）</w:t>
            </w:r>
          </w:p>
        </w:tc>
        <w:tc>
          <w:tcPr>
            <w:tcW w:w="244" w:type="pct"/>
            <w:tcBorders>
              <w:top w:val="single" w:color="auto" w:sz="6" w:space="0"/>
              <w:left w:val="single" w:color="auto" w:sz="6" w:space="0"/>
              <w:bottom w:val="single" w:color="auto" w:sz="6" w:space="0"/>
              <w:right w:val="single" w:color="auto" w:sz="6" w:space="0"/>
            </w:tcBorders>
            <w:noWrap w:val="0"/>
            <w:vAlign w:val="center"/>
          </w:tcPr>
          <w:p w14:paraId="01BED9DD">
            <w:pPr>
              <w:spacing w:line="300" w:lineRule="exact"/>
              <w:jc w:val="center"/>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业绩情况</w:t>
            </w:r>
          </w:p>
        </w:tc>
        <w:tc>
          <w:tcPr>
            <w:tcW w:w="3188" w:type="pct"/>
            <w:tcBorders>
              <w:top w:val="single" w:color="auto" w:sz="6" w:space="0"/>
              <w:left w:val="single" w:color="auto" w:sz="6" w:space="0"/>
              <w:bottom w:val="single" w:color="auto" w:sz="6" w:space="0"/>
              <w:right w:val="single" w:color="auto" w:sz="6" w:space="0"/>
            </w:tcBorders>
            <w:noWrap w:val="0"/>
            <w:vAlign w:val="center"/>
          </w:tcPr>
          <w:p w14:paraId="4C93B631">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供应商自2020年1月1日以来（以签订合同为准）承担过</w:t>
            </w:r>
            <w:r>
              <w:rPr>
                <w:rFonts w:hint="eastAsia" w:ascii="Times New Roman" w:hAnsi="Times New Roman" w:eastAsia="方正仿宋_GBK" w:cs="Times New Roman"/>
                <w:color w:val="000000"/>
                <w:szCs w:val="21"/>
                <w:lang w:eastAsia="zh-CN"/>
              </w:rPr>
              <w:t>环保</w:t>
            </w:r>
            <w:r>
              <w:rPr>
                <w:rFonts w:hint="eastAsia" w:ascii="Times New Roman" w:hAnsi="Times New Roman" w:eastAsia="方正仿宋_GBK" w:cs="Times New Roman"/>
                <w:color w:val="000000"/>
                <w:szCs w:val="21"/>
                <w:lang w:val="en-US" w:eastAsia="zh-CN"/>
              </w:rPr>
              <w:t>规划类</w:t>
            </w:r>
            <w:r>
              <w:rPr>
                <w:rFonts w:hint="default" w:ascii="Times New Roman" w:hAnsi="Times New Roman" w:eastAsia="方正仿宋_GBK" w:cs="Times New Roman"/>
                <w:color w:val="000000"/>
                <w:szCs w:val="21"/>
              </w:rPr>
              <w:t>的</w:t>
            </w:r>
            <w:r>
              <w:rPr>
                <w:rFonts w:hint="eastAsia" w:ascii="Times New Roman" w:hAnsi="Times New Roman" w:eastAsia="方正仿宋_GBK" w:cs="Times New Roman"/>
                <w:color w:val="000000"/>
                <w:szCs w:val="21"/>
                <w:lang w:val="en-US" w:eastAsia="zh-CN"/>
              </w:rPr>
              <w:t>业绩</w:t>
            </w:r>
            <w:r>
              <w:rPr>
                <w:rFonts w:hint="default" w:ascii="Times New Roman" w:hAnsi="Times New Roman" w:eastAsia="方正仿宋_GBK" w:cs="Times New Roman"/>
                <w:color w:val="000000"/>
                <w:szCs w:val="21"/>
              </w:rPr>
              <w:t>，得</w:t>
            </w:r>
            <w:r>
              <w:rPr>
                <w:rFonts w:hint="eastAsia" w:ascii="Times New Roman" w:hAnsi="Times New Roman" w:eastAsia="方正仿宋_GBK" w:cs="Times New Roman"/>
                <w:color w:val="000000"/>
                <w:szCs w:val="21"/>
                <w:lang w:val="en-US" w:eastAsia="zh-CN"/>
              </w:rPr>
              <w:t>15</w:t>
            </w:r>
            <w:r>
              <w:rPr>
                <w:rFonts w:hint="default" w:ascii="Times New Roman" w:hAnsi="Times New Roman" w:eastAsia="方正仿宋_GBK" w:cs="Times New Roman"/>
                <w:color w:val="000000"/>
                <w:szCs w:val="21"/>
              </w:rPr>
              <w:t>分。</w:t>
            </w:r>
          </w:p>
          <w:p w14:paraId="441C3220">
            <w:pPr>
              <w:spacing w:line="300" w:lineRule="exact"/>
              <w:rPr>
                <w:rFonts w:hint="default" w:ascii="Times New Roman" w:hAnsi="Times New Roman" w:eastAsia="方正仿宋_GBK" w:cs="Times New Roman"/>
                <w:color w:val="000000"/>
                <w:szCs w:val="21"/>
              </w:rPr>
            </w:pPr>
            <w:r>
              <w:rPr>
                <w:rFonts w:hint="default" w:ascii="Times New Roman" w:hAnsi="Times New Roman" w:eastAsia="方正仿宋_GBK" w:cs="Times New Roman"/>
                <w:color w:val="000000"/>
                <w:szCs w:val="21"/>
              </w:rPr>
              <w:t>注：供应商须提供合同（含签订合同双方的单位名称、合同项目名称、签订合同双方的落款盖章、签订日期的关键页）复印件加盖供应商公章作为同类业绩证明资料，同一个合同涉及两个项目的，按一个得分项计算。不提供或资料不全不得分。</w:t>
            </w:r>
          </w:p>
        </w:tc>
        <w:tc>
          <w:tcPr>
            <w:tcW w:w="259" w:type="pct"/>
            <w:tcBorders>
              <w:top w:val="single" w:color="auto" w:sz="6" w:space="0"/>
              <w:left w:val="single" w:color="auto" w:sz="6" w:space="0"/>
              <w:bottom w:val="single" w:color="auto" w:sz="6" w:space="0"/>
              <w:right w:val="single" w:color="auto" w:sz="6" w:space="0"/>
            </w:tcBorders>
            <w:noWrap w:val="0"/>
            <w:vAlign w:val="center"/>
          </w:tcPr>
          <w:p w14:paraId="3CB4F71B">
            <w:pPr>
              <w:autoSpaceDE w:val="0"/>
              <w:autoSpaceDN w:val="0"/>
              <w:adjustRightInd w:val="0"/>
              <w:snapToGrid w:val="0"/>
              <w:spacing w:line="300" w:lineRule="exact"/>
              <w:ind w:left="-63" w:leftChars="-30" w:right="-88" w:rightChars="-42"/>
              <w:jc w:val="center"/>
              <w:rPr>
                <w:rFonts w:hint="default" w:ascii="Times New Roman" w:hAnsi="Times New Roman" w:eastAsia="方正仿宋_GBK" w:cs="Times New Roman"/>
                <w:color w:val="000000"/>
                <w:kern w:val="0"/>
                <w:szCs w:val="21"/>
                <w:lang w:val="en-US" w:eastAsia="zh-CN"/>
              </w:rPr>
            </w:pPr>
            <w:r>
              <w:rPr>
                <w:rFonts w:hint="eastAsia" w:ascii="Times New Roman" w:hAnsi="Times New Roman" w:eastAsia="方正仿宋_GBK" w:cs="Times New Roman"/>
                <w:color w:val="000000"/>
                <w:kern w:val="0"/>
                <w:szCs w:val="21"/>
                <w:lang w:val="en-US" w:eastAsia="zh-CN"/>
              </w:rPr>
              <w:t>15</w:t>
            </w:r>
          </w:p>
        </w:tc>
        <w:tc>
          <w:tcPr>
            <w:tcW w:w="335" w:type="pct"/>
            <w:tcBorders>
              <w:top w:val="single" w:color="auto" w:sz="6" w:space="0"/>
              <w:left w:val="single" w:color="auto" w:sz="6" w:space="0"/>
              <w:bottom w:val="single" w:color="auto" w:sz="6" w:space="0"/>
              <w:right w:val="single" w:color="auto" w:sz="6" w:space="0"/>
            </w:tcBorders>
            <w:noWrap w:val="0"/>
            <w:vAlign w:val="top"/>
          </w:tcPr>
          <w:p w14:paraId="49BD0638">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rPr>
            </w:pPr>
          </w:p>
        </w:tc>
        <w:tc>
          <w:tcPr>
            <w:tcW w:w="336" w:type="pct"/>
            <w:tcBorders>
              <w:top w:val="single" w:color="auto" w:sz="6" w:space="0"/>
              <w:left w:val="single" w:color="auto" w:sz="6" w:space="0"/>
              <w:bottom w:val="single" w:color="auto" w:sz="6" w:space="0"/>
              <w:right w:val="single" w:color="auto" w:sz="6" w:space="0"/>
            </w:tcBorders>
            <w:noWrap w:val="0"/>
            <w:vAlign w:val="top"/>
          </w:tcPr>
          <w:p w14:paraId="50EF68E3">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rPr>
            </w:pPr>
          </w:p>
        </w:tc>
        <w:tc>
          <w:tcPr>
            <w:tcW w:w="335" w:type="pct"/>
            <w:tcBorders>
              <w:top w:val="single" w:color="auto" w:sz="6" w:space="0"/>
              <w:left w:val="single" w:color="auto" w:sz="6" w:space="0"/>
              <w:bottom w:val="single" w:color="auto" w:sz="6" w:space="0"/>
              <w:right w:val="single" w:color="auto" w:sz="6" w:space="0"/>
            </w:tcBorders>
            <w:noWrap w:val="0"/>
            <w:vAlign w:val="top"/>
          </w:tcPr>
          <w:p w14:paraId="3D0EDE1B">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rPr>
            </w:pPr>
          </w:p>
        </w:tc>
      </w:tr>
      <w:tr w14:paraId="75EED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noWrap w:val="0"/>
            <w:vAlign w:val="center"/>
          </w:tcPr>
          <w:p w14:paraId="7EB66E6D">
            <w:pPr>
              <w:autoSpaceDE w:val="0"/>
              <w:autoSpaceDN w:val="0"/>
              <w:adjustRightInd w:val="0"/>
              <w:snapToGrid w:val="0"/>
              <w:spacing w:line="300" w:lineRule="exact"/>
              <w:jc w:val="center"/>
              <w:rPr>
                <w:rFonts w:hint="default" w:ascii="Times New Roman" w:hAnsi="Times New Roman" w:eastAsia="方正仿宋_GBK" w:cs="Times New Roman"/>
                <w:bCs/>
                <w:color w:val="000000"/>
                <w:szCs w:val="21"/>
                <w:highlight w:val="none"/>
              </w:rPr>
            </w:pPr>
            <w:r>
              <w:rPr>
                <w:rFonts w:hint="default" w:ascii="Times New Roman" w:hAnsi="Times New Roman" w:eastAsia="方正仿宋_GBK" w:cs="Times New Roman"/>
                <w:bCs/>
                <w:color w:val="000000"/>
                <w:szCs w:val="21"/>
                <w:highlight w:val="none"/>
              </w:rPr>
              <w:t>（</w:t>
            </w:r>
            <w:r>
              <w:rPr>
                <w:rFonts w:hint="eastAsia" w:ascii="Times New Roman" w:hAnsi="Times New Roman" w:eastAsia="方正仿宋_GBK" w:cs="Times New Roman"/>
                <w:bCs/>
                <w:color w:val="000000"/>
                <w:szCs w:val="21"/>
                <w:highlight w:val="none"/>
                <w:lang w:eastAsia="zh-CN"/>
              </w:rPr>
              <w:t>四</w:t>
            </w:r>
            <w:r>
              <w:rPr>
                <w:rFonts w:hint="default" w:ascii="Times New Roman" w:hAnsi="Times New Roman" w:eastAsia="方正仿宋_GBK" w:cs="Times New Roman"/>
                <w:bCs/>
                <w:color w:val="000000"/>
                <w:szCs w:val="21"/>
                <w:highlight w:val="none"/>
              </w:rPr>
              <w:t>）</w:t>
            </w:r>
          </w:p>
        </w:tc>
        <w:tc>
          <w:tcPr>
            <w:tcW w:w="244" w:type="pct"/>
            <w:tcBorders>
              <w:top w:val="single" w:color="auto" w:sz="6" w:space="0"/>
              <w:left w:val="single" w:color="auto" w:sz="6" w:space="0"/>
              <w:bottom w:val="single" w:color="auto" w:sz="6" w:space="0"/>
              <w:right w:val="single" w:color="auto" w:sz="6" w:space="0"/>
            </w:tcBorders>
            <w:noWrap w:val="0"/>
            <w:vAlign w:val="center"/>
          </w:tcPr>
          <w:p w14:paraId="2F8CCB5D">
            <w:pPr>
              <w:spacing w:line="300" w:lineRule="exact"/>
              <w:jc w:val="center"/>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szCs w:val="21"/>
                <w:highlight w:val="none"/>
              </w:rPr>
              <w:t>项目负责人实力</w:t>
            </w:r>
          </w:p>
        </w:tc>
        <w:tc>
          <w:tcPr>
            <w:tcW w:w="3188" w:type="pct"/>
            <w:tcBorders>
              <w:top w:val="single" w:color="auto" w:sz="6" w:space="0"/>
              <w:left w:val="single" w:color="auto" w:sz="6" w:space="0"/>
              <w:bottom w:val="single" w:color="auto" w:sz="6" w:space="0"/>
              <w:right w:val="single" w:color="auto" w:sz="6" w:space="0"/>
            </w:tcBorders>
            <w:noWrap w:val="0"/>
            <w:vAlign w:val="center"/>
          </w:tcPr>
          <w:p w14:paraId="2748D3EC">
            <w:pPr>
              <w:spacing w:line="300" w:lineRule="exact"/>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szCs w:val="21"/>
                <w:highlight w:val="none"/>
              </w:rPr>
              <w:t>拟委派的项目负责人，具有环境类相关专业副高级（或以上）技术职称的，得</w:t>
            </w:r>
            <w:r>
              <w:rPr>
                <w:rFonts w:hint="eastAsia" w:ascii="Times New Roman" w:hAnsi="Times New Roman" w:eastAsia="方正仿宋_GBK" w:cs="Times New Roman"/>
                <w:color w:val="000000"/>
                <w:szCs w:val="21"/>
                <w:highlight w:val="none"/>
                <w:lang w:val="en-US" w:eastAsia="zh-CN"/>
              </w:rPr>
              <w:t>10</w:t>
            </w:r>
            <w:r>
              <w:rPr>
                <w:rFonts w:hint="default" w:ascii="Times New Roman" w:hAnsi="Times New Roman" w:eastAsia="方正仿宋_GBK" w:cs="Times New Roman"/>
                <w:color w:val="000000"/>
                <w:szCs w:val="21"/>
                <w:highlight w:val="none"/>
              </w:rPr>
              <w:t>分；具有环境类相关专业中级技术职称的，得</w:t>
            </w:r>
            <w:r>
              <w:rPr>
                <w:rFonts w:hint="default" w:ascii="Times New Roman" w:hAnsi="Times New Roman" w:eastAsia="方正仿宋_GBK" w:cs="Times New Roman"/>
                <w:color w:val="000000"/>
                <w:szCs w:val="21"/>
                <w:highlight w:val="none"/>
                <w:lang w:val="en-US" w:eastAsia="zh-CN"/>
              </w:rPr>
              <w:t>5</w:t>
            </w:r>
            <w:r>
              <w:rPr>
                <w:rFonts w:hint="default" w:ascii="Times New Roman" w:hAnsi="Times New Roman" w:eastAsia="方正仿宋_GBK" w:cs="Times New Roman"/>
                <w:color w:val="000000"/>
                <w:szCs w:val="21"/>
                <w:highlight w:val="none"/>
              </w:rPr>
              <w:t>分。其余不得分。</w:t>
            </w:r>
          </w:p>
          <w:p w14:paraId="078BBE41">
            <w:pPr>
              <w:spacing w:line="300" w:lineRule="exact"/>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szCs w:val="21"/>
                <w:highlight w:val="none"/>
              </w:rPr>
              <w:t>注：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259" w:type="pct"/>
            <w:tcBorders>
              <w:top w:val="single" w:color="auto" w:sz="6" w:space="0"/>
              <w:left w:val="single" w:color="auto" w:sz="6" w:space="0"/>
              <w:bottom w:val="single" w:color="auto" w:sz="6" w:space="0"/>
              <w:right w:val="single" w:color="auto" w:sz="6" w:space="0"/>
            </w:tcBorders>
            <w:noWrap w:val="0"/>
            <w:vAlign w:val="center"/>
          </w:tcPr>
          <w:p w14:paraId="566D1C3C">
            <w:pPr>
              <w:autoSpaceDE w:val="0"/>
              <w:autoSpaceDN w:val="0"/>
              <w:adjustRightInd w:val="0"/>
              <w:snapToGrid w:val="0"/>
              <w:spacing w:line="300" w:lineRule="exact"/>
              <w:ind w:left="-63" w:leftChars="-30" w:right="-88" w:rightChars="-42"/>
              <w:jc w:val="center"/>
              <w:rPr>
                <w:rFonts w:hint="default" w:ascii="Times New Roman" w:hAnsi="Times New Roman" w:eastAsia="方正仿宋_GBK" w:cs="Times New Roman"/>
                <w:color w:val="000000"/>
                <w:kern w:val="0"/>
                <w:szCs w:val="21"/>
                <w:highlight w:val="none"/>
                <w:lang w:val="en-US" w:eastAsia="zh-CN"/>
              </w:rPr>
            </w:pPr>
            <w:r>
              <w:rPr>
                <w:rFonts w:hint="eastAsia" w:ascii="Times New Roman" w:hAnsi="Times New Roman" w:eastAsia="方正仿宋_GBK" w:cs="Times New Roman"/>
                <w:bCs/>
                <w:color w:val="000000"/>
                <w:kern w:val="0"/>
                <w:szCs w:val="21"/>
                <w:highlight w:val="none"/>
                <w:lang w:val="en-US" w:eastAsia="zh-CN"/>
              </w:rPr>
              <w:t>10</w:t>
            </w:r>
          </w:p>
        </w:tc>
        <w:tc>
          <w:tcPr>
            <w:tcW w:w="335" w:type="pct"/>
            <w:tcBorders>
              <w:top w:val="single" w:color="auto" w:sz="6" w:space="0"/>
              <w:left w:val="single" w:color="auto" w:sz="6" w:space="0"/>
              <w:bottom w:val="single" w:color="auto" w:sz="6" w:space="0"/>
              <w:right w:val="single" w:color="auto" w:sz="6" w:space="0"/>
            </w:tcBorders>
            <w:noWrap w:val="0"/>
            <w:vAlign w:val="top"/>
          </w:tcPr>
          <w:p w14:paraId="7383551E">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highlight w:val="none"/>
              </w:rPr>
            </w:pPr>
          </w:p>
        </w:tc>
        <w:tc>
          <w:tcPr>
            <w:tcW w:w="336" w:type="pct"/>
            <w:tcBorders>
              <w:top w:val="single" w:color="auto" w:sz="6" w:space="0"/>
              <w:left w:val="single" w:color="auto" w:sz="6" w:space="0"/>
              <w:bottom w:val="single" w:color="auto" w:sz="6" w:space="0"/>
              <w:right w:val="single" w:color="auto" w:sz="6" w:space="0"/>
            </w:tcBorders>
            <w:noWrap w:val="0"/>
            <w:vAlign w:val="top"/>
          </w:tcPr>
          <w:p w14:paraId="24912D8A">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highlight w:val="none"/>
              </w:rPr>
            </w:pPr>
          </w:p>
        </w:tc>
        <w:tc>
          <w:tcPr>
            <w:tcW w:w="335" w:type="pct"/>
            <w:tcBorders>
              <w:top w:val="single" w:color="auto" w:sz="6" w:space="0"/>
              <w:left w:val="single" w:color="auto" w:sz="6" w:space="0"/>
              <w:bottom w:val="single" w:color="auto" w:sz="6" w:space="0"/>
              <w:right w:val="single" w:color="auto" w:sz="6" w:space="0"/>
            </w:tcBorders>
            <w:noWrap w:val="0"/>
            <w:vAlign w:val="top"/>
          </w:tcPr>
          <w:p w14:paraId="1E061D06">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highlight w:val="none"/>
              </w:rPr>
            </w:pPr>
          </w:p>
        </w:tc>
      </w:tr>
      <w:tr w14:paraId="7925D4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noWrap w:val="0"/>
            <w:vAlign w:val="center"/>
          </w:tcPr>
          <w:p w14:paraId="10A9F00F">
            <w:pPr>
              <w:autoSpaceDE w:val="0"/>
              <w:autoSpaceDN w:val="0"/>
              <w:adjustRightInd w:val="0"/>
              <w:snapToGrid w:val="0"/>
              <w:spacing w:line="300" w:lineRule="exact"/>
              <w:jc w:val="center"/>
              <w:rPr>
                <w:rFonts w:hint="default" w:ascii="Times New Roman" w:hAnsi="Times New Roman" w:eastAsia="方正仿宋_GBK" w:cs="Times New Roman"/>
                <w:bCs/>
                <w:color w:val="000000"/>
                <w:szCs w:val="21"/>
                <w:highlight w:val="none"/>
              </w:rPr>
            </w:pPr>
            <w:r>
              <w:rPr>
                <w:rFonts w:hint="default" w:ascii="Times New Roman" w:hAnsi="Times New Roman" w:eastAsia="方正仿宋_GBK" w:cs="Times New Roman"/>
                <w:bCs/>
                <w:color w:val="000000"/>
                <w:szCs w:val="21"/>
                <w:highlight w:val="none"/>
              </w:rPr>
              <w:t>（</w:t>
            </w:r>
            <w:r>
              <w:rPr>
                <w:rFonts w:hint="eastAsia" w:ascii="Times New Roman" w:hAnsi="Times New Roman" w:eastAsia="方正仿宋_GBK" w:cs="Times New Roman"/>
                <w:bCs/>
                <w:color w:val="000000"/>
                <w:szCs w:val="21"/>
                <w:highlight w:val="none"/>
                <w:lang w:eastAsia="zh-CN"/>
              </w:rPr>
              <w:t>五</w:t>
            </w:r>
            <w:r>
              <w:rPr>
                <w:rFonts w:hint="default" w:ascii="Times New Roman" w:hAnsi="Times New Roman" w:eastAsia="方正仿宋_GBK" w:cs="Times New Roman"/>
                <w:bCs/>
                <w:color w:val="000000"/>
                <w:szCs w:val="21"/>
                <w:highlight w:val="none"/>
              </w:rPr>
              <w:t>）</w:t>
            </w:r>
          </w:p>
        </w:tc>
        <w:tc>
          <w:tcPr>
            <w:tcW w:w="244" w:type="pct"/>
            <w:tcBorders>
              <w:top w:val="single" w:color="auto" w:sz="6" w:space="0"/>
              <w:left w:val="single" w:color="auto" w:sz="6" w:space="0"/>
              <w:bottom w:val="single" w:color="auto" w:sz="6" w:space="0"/>
              <w:right w:val="single" w:color="auto" w:sz="6" w:space="0"/>
            </w:tcBorders>
            <w:noWrap w:val="0"/>
            <w:vAlign w:val="center"/>
          </w:tcPr>
          <w:p w14:paraId="7271AA10">
            <w:pPr>
              <w:spacing w:line="300" w:lineRule="exact"/>
              <w:jc w:val="center"/>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szCs w:val="21"/>
                <w:highlight w:val="none"/>
              </w:rPr>
              <w:t>团队实力</w:t>
            </w:r>
          </w:p>
        </w:tc>
        <w:tc>
          <w:tcPr>
            <w:tcW w:w="3188" w:type="pct"/>
            <w:tcBorders>
              <w:top w:val="single" w:color="auto" w:sz="6" w:space="0"/>
              <w:left w:val="single" w:color="auto" w:sz="6" w:space="0"/>
              <w:bottom w:val="single" w:color="auto" w:sz="6" w:space="0"/>
              <w:right w:val="single" w:color="auto" w:sz="6" w:space="0"/>
            </w:tcBorders>
            <w:noWrap w:val="0"/>
            <w:vAlign w:val="center"/>
          </w:tcPr>
          <w:p w14:paraId="20E8C041">
            <w:pPr>
              <w:spacing w:line="300" w:lineRule="exact"/>
              <w:rPr>
                <w:rFonts w:hint="eastAsia" w:ascii="Times New Roman" w:hAnsi="Times New Roman" w:eastAsia="方正仿宋_GBK" w:cs="Times New Roman"/>
                <w:color w:val="000000"/>
                <w:szCs w:val="21"/>
                <w:highlight w:val="none"/>
                <w:lang w:val="en-US" w:eastAsia="zh-CN"/>
              </w:rPr>
            </w:pPr>
            <w:r>
              <w:rPr>
                <w:rFonts w:hint="default" w:ascii="Times New Roman" w:hAnsi="Times New Roman" w:eastAsia="方正仿宋_GBK" w:cs="Times New Roman"/>
                <w:color w:val="000000"/>
                <w:szCs w:val="21"/>
                <w:highlight w:val="none"/>
              </w:rPr>
              <w:t>拟委派的技术人员</w:t>
            </w:r>
            <w:r>
              <w:rPr>
                <w:rFonts w:ascii="Times New Roman" w:hAnsi="Times New Roman" w:eastAsia="方正仿宋_GBK"/>
                <w:color w:val="auto"/>
                <w:szCs w:val="21"/>
              </w:rPr>
              <w:t>（不含项目负责人）</w:t>
            </w:r>
            <w:r>
              <w:rPr>
                <w:rFonts w:hint="default" w:ascii="Times New Roman" w:hAnsi="Times New Roman" w:eastAsia="方正仿宋_GBK" w:cs="Times New Roman"/>
                <w:color w:val="000000"/>
                <w:szCs w:val="21"/>
                <w:highlight w:val="none"/>
              </w:rPr>
              <w:t>，具有环境类相关专业副高级（或以上）技术职称的，得</w:t>
            </w:r>
            <w:r>
              <w:rPr>
                <w:rFonts w:hint="eastAsia" w:ascii="Times New Roman" w:hAnsi="Times New Roman" w:eastAsia="方正仿宋_GBK" w:cs="Times New Roman"/>
                <w:color w:val="000000"/>
                <w:szCs w:val="21"/>
                <w:highlight w:val="none"/>
                <w:lang w:val="en-US" w:eastAsia="zh-CN"/>
              </w:rPr>
              <w:t>10</w:t>
            </w:r>
            <w:r>
              <w:rPr>
                <w:rFonts w:hint="default" w:ascii="Times New Roman" w:hAnsi="Times New Roman" w:eastAsia="方正仿宋_GBK" w:cs="Times New Roman"/>
                <w:color w:val="000000"/>
                <w:szCs w:val="21"/>
                <w:highlight w:val="none"/>
              </w:rPr>
              <w:t>分；具有环境类相关专业中级技术职称的，每人得</w:t>
            </w:r>
            <w:r>
              <w:rPr>
                <w:rFonts w:hint="eastAsia" w:ascii="Times New Roman" w:hAnsi="Times New Roman" w:eastAsia="方正仿宋_GBK" w:cs="Times New Roman"/>
                <w:color w:val="000000"/>
                <w:szCs w:val="21"/>
                <w:highlight w:val="none"/>
                <w:lang w:val="en-US" w:eastAsia="zh-CN"/>
              </w:rPr>
              <w:t>5</w:t>
            </w:r>
            <w:r>
              <w:rPr>
                <w:rFonts w:hint="default" w:ascii="Times New Roman" w:hAnsi="Times New Roman" w:eastAsia="方正仿宋_GBK" w:cs="Times New Roman"/>
                <w:color w:val="000000"/>
                <w:szCs w:val="21"/>
                <w:highlight w:val="none"/>
              </w:rPr>
              <w:t>分；具有环境类相关专业</w:t>
            </w:r>
            <w:r>
              <w:rPr>
                <w:rFonts w:hint="eastAsia" w:ascii="Times New Roman" w:hAnsi="Times New Roman" w:eastAsia="方正仿宋_GBK" w:cs="Times New Roman"/>
                <w:color w:val="000000"/>
                <w:szCs w:val="21"/>
                <w:highlight w:val="none"/>
                <w:lang w:eastAsia="zh-CN"/>
              </w:rPr>
              <w:t>初</w:t>
            </w:r>
            <w:r>
              <w:rPr>
                <w:rFonts w:hint="default" w:ascii="Times New Roman" w:hAnsi="Times New Roman" w:eastAsia="方正仿宋_GBK" w:cs="Times New Roman"/>
                <w:color w:val="000000"/>
                <w:szCs w:val="21"/>
                <w:highlight w:val="none"/>
              </w:rPr>
              <w:t>级技术职称的，每人得</w:t>
            </w:r>
            <w:r>
              <w:rPr>
                <w:rFonts w:hint="eastAsia" w:ascii="Times New Roman" w:hAnsi="Times New Roman" w:eastAsia="方正仿宋_GBK" w:cs="Times New Roman"/>
                <w:color w:val="000000"/>
                <w:szCs w:val="21"/>
                <w:highlight w:val="none"/>
                <w:lang w:val="en-US" w:eastAsia="zh-CN"/>
              </w:rPr>
              <w:t>1</w:t>
            </w:r>
            <w:r>
              <w:rPr>
                <w:rFonts w:hint="default" w:ascii="Times New Roman" w:hAnsi="Times New Roman" w:eastAsia="方正仿宋_GBK" w:cs="Times New Roman"/>
                <w:color w:val="000000"/>
                <w:szCs w:val="21"/>
                <w:highlight w:val="none"/>
              </w:rPr>
              <w:t>分</w:t>
            </w:r>
            <w:r>
              <w:rPr>
                <w:rFonts w:hint="eastAsia" w:ascii="Times New Roman" w:hAnsi="Times New Roman" w:eastAsia="方正仿宋_GBK" w:cs="Times New Roman"/>
                <w:color w:val="000000"/>
                <w:szCs w:val="21"/>
                <w:highlight w:val="none"/>
                <w:lang w:eastAsia="zh-CN"/>
              </w:rPr>
              <w:t>。</w:t>
            </w:r>
            <w:bookmarkStart w:id="0" w:name="_GoBack"/>
            <w:bookmarkEnd w:id="0"/>
          </w:p>
          <w:p w14:paraId="1CFF864B">
            <w:pPr>
              <w:spacing w:line="300" w:lineRule="exact"/>
              <w:rPr>
                <w:rFonts w:hint="default" w:ascii="Times New Roman" w:hAnsi="Times New Roman" w:eastAsia="方正仿宋_GBK" w:cs="Times New Roman"/>
                <w:color w:val="000000"/>
                <w:szCs w:val="21"/>
                <w:highlight w:val="none"/>
              </w:rPr>
            </w:pPr>
            <w:r>
              <w:rPr>
                <w:rFonts w:hint="default" w:ascii="Times New Roman" w:hAnsi="Times New Roman" w:eastAsia="方正仿宋_GBK" w:cs="Times New Roman"/>
                <w:color w:val="000000"/>
                <w:szCs w:val="21"/>
                <w:highlight w:val="none"/>
              </w:rPr>
              <w:t>注：上述合计最高得</w:t>
            </w:r>
            <w:r>
              <w:rPr>
                <w:rFonts w:hint="eastAsia" w:ascii="Times New Roman" w:hAnsi="Times New Roman" w:eastAsia="方正仿宋_GBK" w:cs="Times New Roman"/>
                <w:color w:val="000000"/>
                <w:szCs w:val="21"/>
                <w:highlight w:val="none"/>
                <w:lang w:val="en-US" w:eastAsia="zh-CN"/>
              </w:rPr>
              <w:t>25</w:t>
            </w:r>
            <w:r>
              <w:rPr>
                <w:rFonts w:hint="default" w:ascii="Times New Roman" w:hAnsi="Times New Roman" w:eastAsia="方正仿宋_GBK" w:cs="Times New Roman"/>
                <w:color w:val="000000"/>
                <w:szCs w:val="21"/>
                <w:highlight w:val="none"/>
              </w:rPr>
              <w:t>分，同一人员具备多个不同等级职称的，不重复计算得分。须提供上述人员相关职称证书复印件、以及上述人员与供应商签订的劳务合同复印件或由社保机构或税务部门出具的在本项目投标截止日前6个月内任意1个月的由供应商为其购买的社保证明加盖供应商公章，无或缺项或未按要求递交证明材料的不得分。</w:t>
            </w:r>
          </w:p>
        </w:tc>
        <w:tc>
          <w:tcPr>
            <w:tcW w:w="259" w:type="pct"/>
            <w:tcBorders>
              <w:top w:val="single" w:color="auto" w:sz="6" w:space="0"/>
              <w:left w:val="single" w:color="auto" w:sz="6" w:space="0"/>
              <w:bottom w:val="single" w:color="auto" w:sz="6" w:space="0"/>
              <w:right w:val="single" w:color="auto" w:sz="6" w:space="0"/>
            </w:tcBorders>
            <w:noWrap w:val="0"/>
            <w:vAlign w:val="center"/>
          </w:tcPr>
          <w:p w14:paraId="234F9204">
            <w:pPr>
              <w:autoSpaceDE w:val="0"/>
              <w:autoSpaceDN w:val="0"/>
              <w:adjustRightInd w:val="0"/>
              <w:snapToGrid w:val="0"/>
              <w:spacing w:line="300" w:lineRule="exact"/>
              <w:ind w:left="-63" w:leftChars="-30" w:right="-88" w:rightChars="-42"/>
              <w:jc w:val="center"/>
              <w:rPr>
                <w:rFonts w:hint="default" w:ascii="Times New Roman" w:hAnsi="Times New Roman" w:eastAsia="方正仿宋_GBK" w:cs="Times New Roman"/>
                <w:bCs/>
                <w:color w:val="000000"/>
                <w:kern w:val="0"/>
                <w:szCs w:val="21"/>
                <w:highlight w:val="none"/>
                <w:lang w:val="en-US" w:eastAsia="zh-CN"/>
              </w:rPr>
            </w:pPr>
            <w:r>
              <w:rPr>
                <w:rFonts w:hint="eastAsia" w:ascii="Times New Roman" w:hAnsi="Times New Roman" w:eastAsia="方正仿宋_GBK" w:cs="Times New Roman"/>
                <w:bCs/>
                <w:color w:val="000000"/>
                <w:kern w:val="0"/>
                <w:szCs w:val="21"/>
                <w:highlight w:val="none"/>
                <w:lang w:val="en-US" w:eastAsia="zh-CN"/>
              </w:rPr>
              <w:t>25</w:t>
            </w:r>
          </w:p>
        </w:tc>
        <w:tc>
          <w:tcPr>
            <w:tcW w:w="335" w:type="pct"/>
            <w:tcBorders>
              <w:top w:val="single" w:color="auto" w:sz="6" w:space="0"/>
              <w:left w:val="single" w:color="auto" w:sz="6" w:space="0"/>
              <w:bottom w:val="single" w:color="auto" w:sz="6" w:space="0"/>
              <w:right w:val="single" w:color="auto" w:sz="6" w:space="0"/>
            </w:tcBorders>
            <w:noWrap w:val="0"/>
            <w:vAlign w:val="top"/>
          </w:tcPr>
          <w:p w14:paraId="0338442A">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highlight w:val="none"/>
              </w:rPr>
            </w:pPr>
          </w:p>
        </w:tc>
        <w:tc>
          <w:tcPr>
            <w:tcW w:w="336" w:type="pct"/>
            <w:tcBorders>
              <w:top w:val="single" w:color="auto" w:sz="6" w:space="0"/>
              <w:left w:val="single" w:color="auto" w:sz="6" w:space="0"/>
              <w:bottom w:val="single" w:color="auto" w:sz="6" w:space="0"/>
              <w:right w:val="single" w:color="auto" w:sz="6" w:space="0"/>
            </w:tcBorders>
            <w:noWrap w:val="0"/>
            <w:vAlign w:val="top"/>
          </w:tcPr>
          <w:p w14:paraId="34575698">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highlight w:val="none"/>
              </w:rPr>
            </w:pPr>
          </w:p>
        </w:tc>
        <w:tc>
          <w:tcPr>
            <w:tcW w:w="335" w:type="pct"/>
            <w:tcBorders>
              <w:top w:val="single" w:color="auto" w:sz="6" w:space="0"/>
              <w:left w:val="single" w:color="auto" w:sz="6" w:space="0"/>
              <w:bottom w:val="single" w:color="auto" w:sz="6" w:space="0"/>
              <w:right w:val="single" w:color="auto" w:sz="6" w:space="0"/>
            </w:tcBorders>
            <w:noWrap w:val="0"/>
            <w:vAlign w:val="top"/>
          </w:tcPr>
          <w:p w14:paraId="3607654D">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color w:val="000000"/>
                <w:kern w:val="0"/>
                <w:szCs w:val="21"/>
                <w:highlight w:val="none"/>
              </w:rPr>
            </w:pPr>
          </w:p>
        </w:tc>
      </w:tr>
      <w:tr w14:paraId="0D6D6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5000" w:type="pct"/>
            <w:gridSpan w:val="7"/>
            <w:tcBorders>
              <w:top w:val="single" w:color="auto" w:sz="6" w:space="0"/>
              <w:left w:val="single" w:color="auto" w:sz="12" w:space="0"/>
              <w:bottom w:val="single" w:color="auto" w:sz="6" w:space="0"/>
              <w:right w:val="single" w:color="auto" w:sz="6" w:space="0"/>
            </w:tcBorders>
            <w:noWrap w:val="0"/>
            <w:vAlign w:val="center"/>
          </w:tcPr>
          <w:p w14:paraId="61CF949C">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三、价格部分（</w:t>
            </w:r>
            <w:r>
              <w:rPr>
                <w:rFonts w:hint="eastAsia" w:ascii="Times New Roman" w:hAnsi="Times New Roman" w:eastAsia="方正仿宋_GBK" w:cs="Times New Roman"/>
                <w:kern w:val="0"/>
                <w:szCs w:val="21"/>
                <w:lang w:val="en-US" w:eastAsia="zh-CN"/>
              </w:rPr>
              <w:t>20</w:t>
            </w:r>
            <w:r>
              <w:rPr>
                <w:rFonts w:hint="default" w:ascii="Times New Roman" w:hAnsi="Times New Roman" w:eastAsia="方正仿宋_GBK" w:cs="Times New Roman"/>
                <w:kern w:val="0"/>
                <w:szCs w:val="21"/>
              </w:rPr>
              <w:t>分）</w:t>
            </w:r>
          </w:p>
        </w:tc>
      </w:tr>
      <w:tr w14:paraId="2998A3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298" w:type="pct"/>
            <w:tcBorders>
              <w:top w:val="single" w:color="auto" w:sz="6" w:space="0"/>
              <w:left w:val="single" w:color="auto" w:sz="12" w:space="0"/>
              <w:bottom w:val="single" w:color="auto" w:sz="6" w:space="0"/>
              <w:right w:val="single" w:color="auto" w:sz="6" w:space="0"/>
            </w:tcBorders>
            <w:noWrap w:val="0"/>
            <w:vAlign w:val="center"/>
          </w:tcPr>
          <w:p w14:paraId="3CD3D3C3">
            <w:pPr>
              <w:autoSpaceDE w:val="0"/>
              <w:autoSpaceDN w:val="0"/>
              <w:adjustRightInd w:val="0"/>
              <w:snapToGrid w:val="0"/>
              <w:spacing w:line="30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w:t>
            </w:r>
            <w:r>
              <w:rPr>
                <w:rFonts w:hint="eastAsia" w:ascii="Times New Roman" w:hAnsi="Times New Roman" w:eastAsia="方正仿宋_GBK" w:cs="Times New Roman"/>
                <w:kern w:val="0"/>
                <w:szCs w:val="21"/>
                <w:lang w:eastAsia="zh-CN"/>
              </w:rPr>
              <w:t>六</w:t>
            </w:r>
            <w:r>
              <w:rPr>
                <w:rFonts w:hint="default" w:ascii="Times New Roman" w:hAnsi="Times New Roman" w:eastAsia="方正仿宋_GBK" w:cs="Times New Roman"/>
                <w:kern w:val="0"/>
                <w:szCs w:val="21"/>
              </w:rPr>
              <w:t>）</w:t>
            </w:r>
          </w:p>
        </w:tc>
        <w:tc>
          <w:tcPr>
            <w:tcW w:w="244" w:type="pct"/>
            <w:tcBorders>
              <w:top w:val="single" w:color="auto" w:sz="6" w:space="0"/>
              <w:left w:val="single" w:color="auto" w:sz="6" w:space="0"/>
              <w:bottom w:val="single" w:color="auto" w:sz="6" w:space="0"/>
              <w:right w:val="single" w:color="auto" w:sz="6" w:space="0"/>
            </w:tcBorders>
            <w:noWrap w:val="0"/>
            <w:vAlign w:val="center"/>
          </w:tcPr>
          <w:p w14:paraId="52023637">
            <w:pPr>
              <w:autoSpaceDE w:val="0"/>
              <w:autoSpaceDN w:val="0"/>
              <w:adjustRightInd w:val="0"/>
              <w:snapToGrid w:val="0"/>
              <w:spacing w:line="30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价格得分</w:t>
            </w:r>
          </w:p>
        </w:tc>
        <w:tc>
          <w:tcPr>
            <w:tcW w:w="3188" w:type="pct"/>
            <w:tcBorders>
              <w:top w:val="single" w:color="auto" w:sz="6" w:space="0"/>
              <w:left w:val="single" w:color="auto" w:sz="6" w:space="0"/>
              <w:bottom w:val="single" w:color="auto" w:sz="6" w:space="0"/>
              <w:right w:val="single" w:color="auto" w:sz="6" w:space="0"/>
            </w:tcBorders>
            <w:noWrap w:val="0"/>
            <w:vAlign w:val="center"/>
          </w:tcPr>
          <w:p w14:paraId="3D90A1F2">
            <w:pPr>
              <w:autoSpaceDE w:val="0"/>
              <w:autoSpaceDN w:val="0"/>
              <w:adjustRightInd w:val="0"/>
              <w:snapToGrid w:val="0"/>
              <w:spacing w:line="300" w:lineRule="exact"/>
              <w:jc w:val="left"/>
              <w:rPr>
                <w:rFonts w:hint="default" w:ascii="Times New Roman" w:hAnsi="Times New Roman" w:eastAsia="方正仿宋_GBK" w:cs="Times New Roman"/>
                <w:szCs w:val="21"/>
              </w:rPr>
            </w:pPr>
            <w:r>
              <w:rPr>
                <w:rFonts w:hint="default" w:ascii="Times New Roman" w:hAnsi="Times New Roman" w:eastAsia="方正仿宋_GBK" w:cs="Times New Roman"/>
                <w:szCs w:val="21"/>
              </w:rPr>
              <w:t>价格分应当采用低价优先法计算，即满足采购需求且报价最低的为基准价，该项价格得分为满分。其他供应商的价格得分统一按照下列公式计算：供应商价格得分=(基准价／报价)×</w:t>
            </w:r>
            <w:r>
              <w:rPr>
                <w:rFonts w:hint="eastAsia" w:ascii="Times New Roman" w:hAnsi="Times New Roman" w:eastAsia="方正仿宋_GBK" w:cs="Times New Roman"/>
                <w:szCs w:val="21"/>
                <w:lang w:val="en-US" w:eastAsia="zh-CN"/>
              </w:rPr>
              <w:t>20</w:t>
            </w:r>
            <w:r>
              <w:rPr>
                <w:rFonts w:hint="default" w:ascii="Times New Roman" w:hAnsi="Times New Roman" w:eastAsia="方正仿宋_GBK" w:cs="Times New Roman"/>
                <w:szCs w:val="21"/>
              </w:rPr>
              <w:t>，价格得分四舍五入后保留小数点后两位有效数。</w:t>
            </w:r>
            <w:r>
              <w:rPr>
                <w:rFonts w:hint="default" w:ascii="Times New Roman" w:hAnsi="Times New Roman" w:eastAsia="方正仿宋_GBK" w:cs="Times New Roman"/>
                <w:b/>
                <w:szCs w:val="21"/>
              </w:rPr>
              <w:t>（对符合规定的小型和微型企业（监狱企业、残疾人福利单位视同小型、微型企业）报价给予10%的价格扣除。）</w:t>
            </w:r>
          </w:p>
        </w:tc>
        <w:tc>
          <w:tcPr>
            <w:tcW w:w="259" w:type="pct"/>
            <w:tcBorders>
              <w:top w:val="single" w:color="auto" w:sz="6" w:space="0"/>
              <w:left w:val="single" w:color="auto" w:sz="6" w:space="0"/>
              <w:bottom w:val="single" w:color="auto" w:sz="6" w:space="0"/>
              <w:right w:val="single" w:color="auto" w:sz="6" w:space="0"/>
            </w:tcBorders>
            <w:noWrap w:val="0"/>
            <w:vAlign w:val="center"/>
          </w:tcPr>
          <w:p w14:paraId="695569D4">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kern w:val="0"/>
                <w:szCs w:val="21"/>
                <w:lang w:val="en-US" w:eastAsia="zh-CN"/>
              </w:rPr>
            </w:pPr>
            <w:r>
              <w:rPr>
                <w:rFonts w:hint="eastAsia" w:ascii="Times New Roman" w:hAnsi="Times New Roman" w:eastAsia="方正仿宋_GBK" w:cs="Times New Roman"/>
                <w:kern w:val="0"/>
                <w:szCs w:val="21"/>
                <w:lang w:val="en-US" w:eastAsia="zh-CN"/>
              </w:rPr>
              <w:t>20</w:t>
            </w:r>
          </w:p>
        </w:tc>
        <w:tc>
          <w:tcPr>
            <w:tcW w:w="335" w:type="pct"/>
            <w:tcBorders>
              <w:top w:val="single" w:color="auto" w:sz="6" w:space="0"/>
              <w:left w:val="single" w:color="auto" w:sz="6" w:space="0"/>
              <w:bottom w:val="single" w:color="auto" w:sz="6" w:space="0"/>
              <w:right w:val="single" w:color="auto" w:sz="6" w:space="0"/>
            </w:tcBorders>
            <w:noWrap w:val="0"/>
            <w:vAlign w:val="top"/>
          </w:tcPr>
          <w:p w14:paraId="3EEDC6BA">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kern w:val="0"/>
                <w:szCs w:val="21"/>
              </w:rPr>
            </w:pPr>
          </w:p>
        </w:tc>
        <w:tc>
          <w:tcPr>
            <w:tcW w:w="336" w:type="pct"/>
            <w:tcBorders>
              <w:top w:val="single" w:color="auto" w:sz="6" w:space="0"/>
              <w:left w:val="single" w:color="auto" w:sz="6" w:space="0"/>
              <w:bottom w:val="single" w:color="auto" w:sz="6" w:space="0"/>
              <w:right w:val="single" w:color="auto" w:sz="6" w:space="0"/>
            </w:tcBorders>
            <w:noWrap w:val="0"/>
            <w:vAlign w:val="top"/>
          </w:tcPr>
          <w:p w14:paraId="3CA6B5A1">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kern w:val="0"/>
                <w:szCs w:val="21"/>
              </w:rPr>
            </w:pPr>
          </w:p>
        </w:tc>
        <w:tc>
          <w:tcPr>
            <w:tcW w:w="335" w:type="pct"/>
            <w:tcBorders>
              <w:top w:val="single" w:color="auto" w:sz="6" w:space="0"/>
              <w:left w:val="single" w:color="auto" w:sz="6" w:space="0"/>
              <w:bottom w:val="single" w:color="auto" w:sz="6" w:space="0"/>
              <w:right w:val="single" w:color="auto" w:sz="6" w:space="0"/>
            </w:tcBorders>
            <w:noWrap w:val="0"/>
            <w:vAlign w:val="top"/>
          </w:tcPr>
          <w:p w14:paraId="29A07EC9">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kern w:val="0"/>
                <w:szCs w:val="21"/>
              </w:rPr>
            </w:pPr>
          </w:p>
        </w:tc>
      </w:tr>
      <w:tr w14:paraId="0EB043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3731" w:type="pct"/>
            <w:gridSpan w:val="3"/>
            <w:tcBorders>
              <w:top w:val="single" w:color="auto" w:sz="6" w:space="0"/>
              <w:left w:val="single" w:color="auto" w:sz="12" w:space="0"/>
              <w:bottom w:val="single" w:color="auto" w:sz="12" w:space="0"/>
              <w:right w:val="single" w:color="auto" w:sz="6" w:space="0"/>
            </w:tcBorders>
            <w:noWrap w:val="0"/>
            <w:vAlign w:val="center"/>
          </w:tcPr>
          <w:p w14:paraId="7DA8F1DD">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合计</w:t>
            </w:r>
          </w:p>
        </w:tc>
        <w:tc>
          <w:tcPr>
            <w:tcW w:w="259" w:type="pct"/>
            <w:tcBorders>
              <w:top w:val="single" w:color="auto" w:sz="6" w:space="0"/>
              <w:left w:val="single" w:color="auto" w:sz="6" w:space="0"/>
              <w:bottom w:val="single" w:color="auto" w:sz="12" w:space="0"/>
              <w:right w:val="single" w:color="auto" w:sz="6" w:space="0"/>
            </w:tcBorders>
            <w:noWrap w:val="0"/>
            <w:vAlign w:val="center"/>
          </w:tcPr>
          <w:p w14:paraId="52F1F65B">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b/>
                <w:kern w:val="0"/>
                <w:szCs w:val="21"/>
              </w:rPr>
            </w:pPr>
            <w:r>
              <w:rPr>
                <w:rFonts w:hint="default" w:ascii="Times New Roman" w:hAnsi="Times New Roman" w:eastAsia="方正仿宋_GBK" w:cs="Times New Roman"/>
                <w:b/>
                <w:kern w:val="0"/>
                <w:szCs w:val="21"/>
              </w:rPr>
              <w:t xml:space="preserve">100 </w:t>
            </w:r>
          </w:p>
        </w:tc>
        <w:tc>
          <w:tcPr>
            <w:tcW w:w="335" w:type="pct"/>
            <w:tcBorders>
              <w:top w:val="single" w:color="auto" w:sz="6" w:space="0"/>
              <w:left w:val="single" w:color="auto" w:sz="6" w:space="0"/>
              <w:bottom w:val="single" w:color="auto" w:sz="12" w:space="0"/>
              <w:right w:val="single" w:color="auto" w:sz="6" w:space="0"/>
            </w:tcBorders>
            <w:noWrap w:val="0"/>
            <w:vAlign w:val="top"/>
          </w:tcPr>
          <w:p w14:paraId="64F058E4">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b/>
                <w:kern w:val="0"/>
                <w:szCs w:val="21"/>
              </w:rPr>
            </w:pPr>
          </w:p>
        </w:tc>
        <w:tc>
          <w:tcPr>
            <w:tcW w:w="336" w:type="pct"/>
            <w:tcBorders>
              <w:top w:val="single" w:color="auto" w:sz="6" w:space="0"/>
              <w:left w:val="single" w:color="auto" w:sz="6" w:space="0"/>
              <w:bottom w:val="single" w:color="auto" w:sz="12" w:space="0"/>
              <w:right w:val="single" w:color="auto" w:sz="6" w:space="0"/>
            </w:tcBorders>
            <w:noWrap w:val="0"/>
            <w:vAlign w:val="top"/>
          </w:tcPr>
          <w:p w14:paraId="75D60FC2">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b/>
                <w:kern w:val="0"/>
                <w:szCs w:val="21"/>
              </w:rPr>
            </w:pPr>
          </w:p>
        </w:tc>
        <w:tc>
          <w:tcPr>
            <w:tcW w:w="335" w:type="pct"/>
            <w:tcBorders>
              <w:top w:val="single" w:color="auto" w:sz="6" w:space="0"/>
              <w:left w:val="single" w:color="auto" w:sz="6" w:space="0"/>
              <w:bottom w:val="single" w:color="auto" w:sz="12" w:space="0"/>
              <w:right w:val="single" w:color="auto" w:sz="6" w:space="0"/>
            </w:tcBorders>
            <w:noWrap w:val="0"/>
            <w:vAlign w:val="top"/>
          </w:tcPr>
          <w:p w14:paraId="3EE1F94F">
            <w:pPr>
              <w:autoSpaceDE w:val="0"/>
              <w:autoSpaceDN w:val="0"/>
              <w:adjustRightInd w:val="0"/>
              <w:snapToGrid w:val="0"/>
              <w:spacing w:line="300" w:lineRule="exact"/>
              <w:ind w:left="-78" w:leftChars="-37" w:right="-73" w:rightChars="-35"/>
              <w:jc w:val="center"/>
              <w:rPr>
                <w:rFonts w:hint="default" w:ascii="Times New Roman" w:hAnsi="Times New Roman" w:eastAsia="方正仿宋_GBK" w:cs="Times New Roman"/>
                <w:b/>
                <w:kern w:val="0"/>
                <w:szCs w:val="21"/>
              </w:rPr>
            </w:pPr>
          </w:p>
        </w:tc>
      </w:tr>
    </w:tbl>
    <w:p w14:paraId="322DE513"/>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_GBK">
    <w:altName w:val="宋体"/>
    <w:panose1 w:val="03000509000000000000"/>
    <w:charset w:val="86"/>
    <w:family w:val="script"/>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6D3AE4"/>
    <w:rsid w:val="0F6D3AE4"/>
    <w:rsid w:val="18FF18CA"/>
    <w:rsid w:val="1B0C0209"/>
    <w:rsid w:val="1F9B6531"/>
    <w:rsid w:val="41716E3A"/>
    <w:rsid w:val="5E9E137D"/>
    <w:rsid w:val="6FFE0C70"/>
    <w:rsid w:val="733C31E2"/>
    <w:rsid w:val="775646F9"/>
    <w:rsid w:val="7C5E0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1251</Words>
  <Characters>1288</Characters>
  <Lines>0</Lines>
  <Paragraphs>0</Paragraphs>
  <TotalTime>4</TotalTime>
  <ScaleCrop>false</ScaleCrop>
  <LinksUpToDate>false</LinksUpToDate>
  <CharactersWithSpaces>1289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2025-06-16T01:53:00Z</dcterms:created>
  <dc:creator>李耀明</dc:creator>
  <cp:lastModifiedBy>SY</cp:lastModifiedBy>
  <dcterms:modified xsi:type="dcterms:W3CDTF">2025-10-22T02:03:00Z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98E7D65DC7FC432CA9906E4AEFA5F550_13</vt:lpwstr>
  </property>
  <property fmtid="{D5CDD505-2E9C-101B-9397-08002B2CF9AE}" pid="4" name="KSOTemplateDocerSaveRecord">
    <vt:lpwstr>eyJoZGlkIjoiMjk0YTIzZjFjZWM2YTUwNTllNDY1MjkxZWM4YzY1ODIiLCJ1c2VySWQiOiIxMTc0MzExMjQ5In0=</vt:lpwstr>
  </property>
</Properties>
</file>