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2A740">
      <w:pPr>
        <w:autoSpaceDE w:val="0"/>
        <w:autoSpaceDN w:val="0"/>
        <w:adjustRightInd w:val="0"/>
        <w:jc w:val="left"/>
        <w:outlineLvl w:val="0"/>
        <w:rPr>
          <w:rFonts w:hint="eastAsia" w:eastAsia="黑体"/>
          <w:color w:val="auto"/>
          <w:kern w:val="0"/>
          <w:sz w:val="32"/>
          <w:szCs w:val="32"/>
          <w:highlight w:val="none"/>
          <w:lang w:eastAsia="zh-CN"/>
        </w:rPr>
      </w:pPr>
      <w:bookmarkStart w:id="0" w:name="_GoBack"/>
      <w:r>
        <w:rPr>
          <w:rFonts w:eastAsia="黑体"/>
          <w:color w:val="auto"/>
          <w:kern w:val="0"/>
          <w:sz w:val="32"/>
          <w:szCs w:val="32"/>
          <w:highlight w:val="none"/>
        </w:rPr>
        <w:t>附件</w:t>
      </w:r>
      <w:r>
        <w:rPr>
          <w:rFonts w:hint="eastAsia" w:eastAsia="黑体"/>
          <w:color w:val="auto"/>
          <w:kern w:val="0"/>
          <w:sz w:val="32"/>
          <w:szCs w:val="32"/>
          <w:highlight w:val="none"/>
          <w:lang w:val="en-US" w:eastAsia="zh-CN"/>
        </w:rPr>
        <w:t>3</w:t>
      </w:r>
    </w:p>
    <w:p w14:paraId="760AAFE8">
      <w:pPr>
        <w:autoSpaceDE w:val="0"/>
        <w:autoSpaceDN w:val="0"/>
        <w:adjustRightInd w:val="0"/>
        <w:snapToGrid w:val="0"/>
        <w:spacing w:line="579" w:lineRule="exact"/>
        <w:jc w:val="center"/>
        <w:rPr>
          <w:rFonts w:hint="eastAsia" w:ascii="黑体" w:hAnsi="黑体" w:eastAsia="黑体" w:cs="宋体"/>
          <w:color w:val="auto"/>
          <w:kern w:val="0"/>
          <w:sz w:val="40"/>
          <w:szCs w:val="40"/>
          <w:highlight w:val="none"/>
        </w:rPr>
      </w:pPr>
      <w:r>
        <w:rPr>
          <w:rFonts w:hint="eastAsia" w:ascii="黑体" w:hAnsi="黑体" w:eastAsia="黑体" w:cs="方正小标宋简体"/>
          <w:color w:val="auto"/>
          <w:kern w:val="0"/>
          <w:sz w:val="40"/>
          <w:szCs w:val="40"/>
          <w:highlight w:val="none"/>
        </w:rPr>
        <w:t>台山市2025年入海排污口监测项目</w:t>
      </w:r>
      <w:r>
        <w:rPr>
          <w:rFonts w:hint="eastAsia" w:ascii="黑体" w:hAnsi="黑体" w:eastAsia="黑体" w:cs="宋体"/>
          <w:color w:val="auto"/>
          <w:kern w:val="0"/>
          <w:sz w:val="40"/>
          <w:szCs w:val="40"/>
          <w:highlight w:val="none"/>
        </w:rPr>
        <w:t>评分表</w:t>
      </w:r>
    </w:p>
    <w:tbl>
      <w:tblPr>
        <w:tblStyle w:val="6"/>
        <w:tblW w:w="10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073"/>
        <w:gridCol w:w="7481"/>
        <w:gridCol w:w="709"/>
        <w:gridCol w:w="709"/>
      </w:tblGrid>
      <w:tr w14:paraId="3825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91" w:type="dxa"/>
            <w:vAlign w:val="center"/>
          </w:tcPr>
          <w:p w14:paraId="41BC614A">
            <w:pPr>
              <w:autoSpaceDE w:val="0"/>
              <w:autoSpaceDN w:val="0"/>
              <w:adjustRightInd w:val="0"/>
              <w:snapToGrid w:val="0"/>
              <w:spacing w:line="264" w:lineRule="auto"/>
              <w:ind w:left="-111" w:leftChars="-37" w:right="-105" w:rightChars="-35"/>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1073" w:type="dxa"/>
            <w:vAlign w:val="center"/>
          </w:tcPr>
          <w:p w14:paraId="63D364BB">
            <w:pPr>
              <w:autoSpaceDE w:val="0"/>
              <w:autoSpaceDN w:val="0"/>
              <w:adjustRightInd w:val="0"/>
              <w:snapToGrid w:val="0"/>
              <w:spacing w:line="264" w:lineRule="auto"/>
              <w:ind w:left="-111" w:leftChars="-37" w:right="-105" w:rightChars="-35"/>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7481" w:type="dxa"/>
            <w:vAlign w:val="center"/>
          </w:tcPr>
          <w:p w14:paraId="6B38B7A2">
            <w:pPr>
              <w:autoSpaceDE w:val="0"/>
              <w:autoSpaceDN w:val="0"/>
              <w:adjustRightInd w:val="0"/>
              <w:snapToGrid w:val="0"/>
              <w:spacing w:line="264" w:lineRule="auto"/>
              <w:ind w:left="-111" w:leftChars="-37" w:right="-105" w:rightChars="-35"/>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评分细则</w:t>
            </w:r>
          </w:p>
        </w:tc>
        <w:tc>
          <w:tcPr>
            <w:tcW w:w="709" w:type="dxa"/>
            <w:vAlign w:val="center"/>
          </w:tcPr>
          <w:p w14:paraId="54A3A0A6">
            <w:pPr>
              <w:autoSpaceDE w:val="0"/>
              <w:autoSpaceDN w:val="0"/>
              <w:adjustRightInd w:val="0"/>
              <w:snapToGrid w:val="0"/>
              <w:spacing w:line="264" w:lineRule="auto"/>
              <w:ind w:left="-111" w:leftChars="-37" w:right="-105" w:rightChars="-35"/>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分值（分）</w:t>
            </w:r>
          </w:p>
        </w:tc>
        <w:tc>
          <w:tcPr>
            <w:tcW w:w="709" w:type="dxa"/>
            <w:vAlign w:val="center"/>
          </w:tcPr>
          <w:p w14:paraId="594AE79A">
            <w:pPr>
              <w:autoSpaceDE w:val="0"/>
              <w:autoSpaceDN w:val="0"/>
              <w:adjustRightInd w:val="0"/>
              <w:snapToGrid w:val="0"/>
              <w:spacing w:line="264" w:lineRule="auto"/>
              <w:ind w:left="-111" w:leftChars="-37" w:right="-105" w:rightChars="-35"/>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lang w:val="en-US" w:eastAsia="zh-CN"/>
              </w:rPr>
              <w:t>得分</w:t>
            </w:r>
            <w:r>
              <w:rPr>
                <w:rFonts w:hint="eastAsia" w:ascii="宋体" w:hAnsi="宋体" w:cs="宋体"/>
                <w:b/>
                <w:color w:val="auto"/>
                <w:kern w:val="0"/>
                <w:sz w:val="21"/>
                <w:szCs w:val="21"/>
                <w:highlight w:val="none"/>
              </w:rPr>
              <w:t>（</w:t>
            </w:r>
            <w:r>
              <w:rPr>
                <w:rFonts w:hint="eastAsia" w:ascii="宋体" w:hAnsi="宋体" w:cs="宋体"/>
                <w:b/>
                <w:color w:val="auto"/>
                <w:kern w:val="0"/>
                <w:sz w:val="21"/>
                <w:szCs w:val="21"/>
                <w:highlight w:val="none"/>
                <w:lang w:val="en-US" w:eastAsia="zh-CN"/>
              </w:rPr>
              <w:t>分</w:t>
            </w:r>
            <w:r>
              <w:rPr>
                <w:rFonts w:hint="eastAsia" w:ascii="宋体" w:hAnsi="宋体" w:cs="宋体"/>
                <w:b/>
                <w:color w:val="auto"/>
                <w:kern w:val="0"/>
                <w:sz w:val="21"/>
                <w:szCs w:val="21"/>
                <w:highlight w:val="none"/>
              </w:rPr>
              <w:t>）</w:t>
            </w:r>
          </w:p>
        </w:tc>
      </w:tr>
      <w:tr w14:paraId="4911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0663" w:type="dxa"/>
            <w:gridSpan w:val="5"/>
            <w:vAlign w:val="center"/>
          </w:tcPr>
          <w:p w14:paraId="4282FB9F">
            <w:pPr>
              <w:autoSpaceDE w:val="0"/>
              <w:autoSpaceDN w:val="0"/>
              <w:adjustRightInd w:val="0"/>
              <w:snapToGrid w:val="0"/>
              <w:spacing w:line="200" w:lineRule="exact"/>
              <w:ind w:left="-111" w:leftChars="-37" w:right="-105" w:rightChars="-35"/>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一、技术部分 （5</w:t>
            </w:r>
            <w:r>
              <w:rPr>
                <w:rFonts w:hint="eastAsia" w:ascii="宋体" w:hAnsi="宋体" w:cs="宋体"/>
                <w:b/>
                <w:color w:val="auto"/>
                <w:kern w:val="0"/>
                <w:sz w:val="18"/>
                <w:szCs w:val="18"/>
                <w:highlight w:val="none"/>
                <w:lang w:val="en-US" w:eastAsia="zh-CN"/>
              </w:rPr>
              <w:t>0</w:t>
            </w:r>
            <w:r>
              <w:rPr>
                <w:rFonts w:hint="eastAsia" w:ascii="宋体" w:hAnsi="宋体" w:cs="宋体"/>
                <w:b/>
                <w:color w:val="auto"/>
                <w:kern w:val="0"/>
                <w:sz w:val="18"/>
                <w:szCs w:val="18"/>
                <w:highlight w:val="none"/>
              </w:rPr>
              <w:t>分）</w:t>
            </w:r>
          </w:p>
        </w:tc>
      </w:tr>
      <w:tr w14:paraId="6E99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91" w:type="dxa"/>
            <w:vAlign w:val="center"/>
          </w:tcPr>
          <w:p w14:paraId="1C35AC9A">
            <w:pPr>
              <w:spacing w:line="24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073" w:type="dxa"/>
            <w:shd w:val="clear" w:color="auto" w:fill="auto"/>
            <w:vAlign w:val="center"/>
          </w:tcPr>
          <w:p w14:paraId="4CCCEFB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服务</w:t>
            </w:r>
            <w:r>
              <w:rPr>
                <w:rFonts w:hint="eastAsia" w:ascii="宋体" w:hAnsi="宋体" w:eastAsia="宋体" w:cs="宋体"/>
                <w:bCs/>
                <w:color w:val="auto"/>
                <w:kern w:val="0"/>
                <w:sz w:val="22"/>
                <w:szCs w:val="22"/>
                <w:highlight w:val="none"/>
              </w:rPr>
              <w:t>商检测能力认定</w:t>
            </w:r>
          </w:p>
        </w:tc>
        <w:tc>
          <w:tcPr>
            <w:tcW w:w="7481" w:type="dxa"/>
            <w:shd w:val="clear" w:color="auto" w:fill="auto"/>
            <w:vAlign w:val="center"/>
          </w:tcPr>
          <w:p w14:paraId="09F34E3D">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服务</w:t>
            </w:r>
            <w:r>
              <w:rPr>
                <w:rFonts w:hint="eastAsia" w:ascii="宋体" w:hAnsi="宋体" w:eastAsia="宋体" w:cs="宋体"/>
                <w:bCs/>
                <w:color w:val="auto"/>
                <w:kern w:val="0"/>
                <w:sz w:val="22"/>
                <w:szCs w:val="22"/>
                <w:highlight w:val="none"/>
              </w:rPr>
              <w:t>商CMA检测能力覆盖</w:t>
            </w:r>
            <w:r>
              <w:rPr>
                <w:rFonts w:hint="eastAsia" w:ascii="宋体" w:hAnsi="宋体" w:eastAsia="宋体" w:cs="宋体"/>
                <w:bCs/>
                <w:color w:val="auto"/>
                <w:kern w:val="0"/>
                <w:sz w:val="22"/>
                <w:szCs w:val="22"/>
                <w:highlight w:val="none"/>
                <w:lang w:val="en-US" w:eastAsia="zh-CN"/>
              </w:rPr>
              <w:t>如下：</w:t>
            </w:r>
          </w:p>
          <w:p w14:paraId="5A095E5A">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海</w:t>
            </w:r>
            <w:r>
              <w:rPr>
                <w:rFonts w:hint="eastAsia" w:ascii="宋体" w:hAnsi="宋体" w:eastAsia="宋体" w:cs="宋体"/>
                <w:bCs/>
                <w:color w:val="auto"/>
                <w:kern w:val="0"/>
                <w:sz w:val="22"/>
                <w:szCs w:val="22"/>
                <w:highlight w:val="none"/>
              </w:rPr>
              <w:t>水：</w:t>
            </w:r>
            <w:r>
              <w:rPr>
                <w:rFonts w:hint="eastAsia" w:ascii="宋体" w:hAnsi="宋体" w:eastAsia="宋体" w:cs="宋体"/>
                <w:bCs/>
                <w:color w:val="auto"/>
                <w:kern w:val="0"/>
                <w:sz w:val="22"/>
                <w:szCs w:val="22"/>
                <w:highlight w:val="none"/>
              </w:rPr>
              <w:t>盐度</w:t>
            </w: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rPr>
              <w:t>pH</w:t>
            </w:r>
            <w:r>
              <w:rPr>
                <w:rFonts w:hint="eastAsia" w:ascii="宋体" w:hAnsi="宋体" w:eastAsia="宋体" w:cs="宋体"/>
                <w:bCs/>
                <w:color w:val="auto"/>
                <w:kern w:val="0"/>
                <w:sz w:val="22"/>
                <w:szCs w:val="22"/>
                <w:highlight w:val="none"/>
                <w:lang w:val="en-US" w:eastAsia="zh-CN"/>
              </w:rPr>
              <w:t>值</w:t>
            </w: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rPr>
              <w:t>化学需氧量</w:t>
            </w: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rPr>
              <w:t>氨氮</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lang w:val="en-US" w:eastAsia="zh-CN"/>
              </w:rPr>
              <w:t>氨</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rPr>
              <w:t>总氮、总磷</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无机氮</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lang w:val="en-US" w:eastAsia="zh-CN"/>
              </w:rPr>
              <w:t>氨氮、亚硝酸盐氮、硝酸盐氮</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rPr>
              <w:t>活性磷酸盐</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lang w:val="en-US" w:eastAsia="zh-CN"/>
              </w:rPr>
              <w:t>无机磷</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和</w:t>
            </w:r>
            <w:r>
              <w:rPr>
                <w:rFonts w:hint="eastAsia" w:ascii="宋体" w:hAnsi="宋体" w:eastAsia="宋体" w:cs="宋体"/>
                <w:bCs/>
                <w:color w:val="auto"/>
                <w:kern w:val="0"/>
                <w:sz w:val="22"/>
                <w:szCs w:val="22"/>
                <w:highlight w:val="none"/>
              </w:rPr>
              <w:t>悬浮物</w:t>
            </w:r>
            <w:r>
              <w:rPr>
                <w:rFonts w:hint="eastAsia" w:ascii="宋体" w:hAnsi="宋体" w:eastAsia="宋体" w:cs="宋体"/>
                <w:bCs/>
                <w:color w:val="auto"/>
                <w:kern w:val="0"/>
                <w:sz w:val="22"/>
                <w:szCs w:val="22"/>
                <w:highlight w:val="none"/>
              </w:rPr>
              <w:t>共</w:t>
            </w:r>
            <w:r>
              <w:rPr>
                <w:rFonts w:hint="eastAsia" w:ascii="宋体" w:hAnsi="宋体" w:eastAsia="宋体" w:cs="宋体"/>
                <w:bCs/>
                <w:color w:val="auto"/>
                <w:kern w:val="0"/>
                <w:sz w:val="22"/>
                <w:szCs w:val="22"/>
                <w:highlight w:val="none"/>
                <w:lang w:val="en-US" w:eastAsia="zh-CN"/>
              </w:rPr>
              <w:t>9</w:t>
            </w:r>
            <w:r>
              <w:rPr>
                <w:rFonts w:hint="eastAsia" w:ascii="宋体" w:hAnsi="宋体" w:eastAsia="宋体" w:cs="宋体"/>
                <w:bCs/>
                <w:color w:val="auto"/>
                <w:kern w:val="0"/>
                <w:sz w:val="22"/>
                <w:szCs w:val="22"/>
                <w:highlight w:val="none"/>
              </w:rPr>
              <w:t>项检测指标</w:t>
            </w:r>
            <w:r>
              <w:rPr>
                <w:rFonts w:hint="eastAsia" w:ascii="宋体" w:hAnsi="宋体" w:eastAsia="宋体" w:cs="宋体"/>
                <w:bCs/>
                <w:color w:val="auto"/>
                <w:kern w:val="0"/>
                <w:sz w:val="22"/>
                <w:szCs w:val="22"/>
                <w:highlight w:val="none"/>
                <w:lang w:val="en-US" w:eastAsia="zh-CN"/>
              </w:rPr>
              <w:t>；</w:t>
            </w:r>
          </w:p>
          <w:p w14:paraId="13DB1C54">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水（含大气降水）和废水</w:t>
            </w: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rPr>
              <w:t>流量</w:t>
            </w: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rPr>
              <w:t>pH</w:t>
            </w:r>
            <w:r>
              <w:rPr>
                <w:rFonts w:hint="eastAsia" w:ascii="宋体" w:hAnsi="宋体" w:eastAsia="宋体" w:cs="宋体"/>
                <w:bCs/>
                <w:color w:val="auto"/>
                <w:kern w:val="0"/>
                <w:sz w:val="22"/>
                <w:szCs w:val="22"/>
                <w:highlight w:val="none"/>
                <w:lang w:val="en-US" w:eastAsia="zh-CN"/>
              </w:rPr>
              <w:t>值</w:t>
            </w: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rPr>
              <w:t>化学需氧量</w:t>
            </w: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rPr>
              <w:t>氨氮</w:t>
            </w: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rPr>
              <w:t>总氮</w:t>
            </w: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rPr>
              <w:t>总磷</w:t>
            </w:r>
            <w:r>
              <w:rPr>
                <w:rFonts w:hint="eastAsia" w:ascii="宋体" w:hAnsi="宋体" w:eastAsia="宋体" w:cs="宋体"/>
                <w:bCs/>
                <w:color w:val="auto"/>
                <w:kern w:val="0"/>
                <w:sz w:val="22"/>
                <w:szCs w:val="22"/>
                <w:highlight w:val="none"/>
                <w:lang w:val="en-US" w:eastAsia="zh-CN"/>
              </w:rPr>
              <w:t>和悬浮物共7项检测指标</w:t>
            </w:r>
          </w:p>
          <w:p w14:paraId="5807402C">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1、达到100%覆盖</w:t>
            </w:r>
            <w:r>
              <w:rPr>
                <w:rFonts w:hint="eastAsia" w:ascii="宋体" w:hAnsi="宋体" w:eastAsia="宋体" w:cs="宋体"/>
                <w:bCs/>
                <w:color w:val="auto"/>
                <w:kern w:val="0"/>
                <w:sz w:val="22"/>
                <w:szCs w:val="22"/>
                <w:highlight w:val="none"/>
                <w:lang w:val="en-US" w:eastAsia="zh-CN"/>
              </w:rPr>
              <w:t>检测能力</w:t>
            </w:r>
            <w:r>
              <w:rPr>
                <w:rFonts w:hint="eastAsia" w:ascii="宋体" w:hAnsi="宋体" w:eastAsia="宋体" w:cs="宋体"/>
                <w:bCs/>
                <w:color w:val="auto"/>
                <w:kern w:val="0"/>
                <w:sz w:val="22"/>
                <w:szCs w:val="22"/>
                <w:highlight w:val="none"/>
              </w:rPr>
              <w:t>的得</w:t>
            </w:r>
            <w:r>
              <w:rPr>
                <w:rFonts w:hint="eastAsia" w:ascii="宋体" w:hAnsi="宋体" w:eastAsia="宋体" w:cs="宋体"/>
                <w:bCs/>
                <w:color w:val="auto"/>
                <w:kern w:val="0"/>
                <w:sz w:val="22"/>
                <w:szCs w:val="22"/>
                <w:highlight w:val="none"/>
                <w:lang w:val="en-US" w:eastAsia="zh-CN"/>
              </w:rPr>
              <w:t>20</w:t>
            </w:r>
            <w:r>
              <w:rPr>
                <w:rFonts w:hint="eastAsia" w:ascii="宋体" w:hAnsi="宋体" w:eastAsia="宋体" w:cs="宋体"/>
                <w:bCs/>
                <w:color w:val="auto"/>
                <w:kern w:val="0"/>
                <w:sz w:val="22"/>
                <w:szCs w:val="22"/>
                <w:highlight w:val="none"/>
              </w:rPr>
              <w:t>分；</w:t>
            </w:r>
          </w:p>
          <w:p w14:paraId="3121C654">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2、达到90%（含）-100%（不含）的得</w:t>
            </w:r>
            <w:r>
              <w:rPr>
                <w:rFonts w:hint="eastAsia" w:ascii="宋体" w:hAnsi="宋体" w:eastAsia="宋体" w:cs="宋体"/>
                <w:bCs/>
                <w:color w:val="auto"/>
                <w:kern w:val="0"/>
                <w:sz w:val="22"/>
                <w:szCs w:val="22"/>
                <w:highlight w:val="none"/>
                <w:lang w:val="en-US" w:eastAsia="zh-CN"/>
              </w:rPr>
              <w:t>10</w:t>
            </w:r>
            <w:r>
              <w:rPr>
                <w:rFonts w:hint="eastAsia" w:ascii="宋体" w:hAnsi="宋体" w:eastAsia="宋体" w:cs="宋体"/>
                <w:bCs/>
                <w:color w:val="auto"/>
                <w:kern w:val="0"/>
                <w:sz w:val="22"/>
                <w:szCs w:val="22"/>
                <w:highlight w:val="none"/>
              </w:rPr>
              <w:t>分；</w:t>
            </w:r>
          </w:p>
          <w:p w14:paraId="596C95E3">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3、达到90%以下或不提供的得0分。</w:t>
            </w:r>
          </w:p>
          <w:p w14:paraId="31AACF22">
            <w:pPr>
              <w:autoSpaceDE w:val="0"/>
              <w:autoSpaceDN w:val="0"/>
              <w:adjustRightInd w:val="0"/>
              <w:snapToGrid w:val="0"/>
              <w:spacing w:line="240" w:lineRule="auto"/>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b/>
                <w:bCs/>
                <w:color w:val="auto"/>
                <w:kern w:val="0"/>
                <w:sz w:val="21"/>
                <w:szCs w:val="21"/>
                <w:highlight w:val="none"/>
              </w:rPr>
              <w:t>备注：提供检验检测机构资质认定证书检测能力附表复印件，不提供不得分。</w:t>
            </w:r>
          </w:p>
        </w:tc>
        <w:tc>
          <w:tcPr>
            <w:tcW w:w="709" w:type="dxa"/>
            <w:vAlign w:val="center"/>
          </w:tcPr>
          <w:p w14:paraId="459AC3DD">
            <w:pPr>
              <w:autoSpaceDE w:val="0"/>
              <w:autoSpaceDN w:val="0"/>
              <w:adjustRightInd w:val="0"/>
              <w:snapToGrid w:val="0"/>
              <w:spacing w:line="240" w:lineRule="auto"/>
              <w:jc w:val="center"/>
              <w:rPr>
                <w:rFonts w:hint="eastAsia" w:ascii="宋体" w:hAnsi="宋体" w:eastAsia="宋体" w:cs="宋体"/>
                <w:bCs/>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w:t>
            </w:r>
          </w:p>
        </w:tc>
        <w:tc>
          <w:tcPr>
            <w:tcW w:w="709" w:type="dxa"/>
            <w:vAlign w:val="center"/>
          </w:tcPr>
          <w:p w14:paraId="59B55443">
            <w:pPr>
              <w:autoSpaceDE w:val="0"/>
              <w:autoSpaceDN w:val="0"/>
              <w:adjustRightInd w:val="0"/>
              <w:snapToGrid w:val="0"/>
              <w:spacing w:line="240" w:lineRule="auto"/>
              <w:jc w:val="center"/>
              <w:rPr>
                <w:rFonts w:hint="eastAsia" w:ascii="宋体" w:hAnsi="宋体" w:eastAsia="宋体" w:cs="宋体"/>
                <w:color w:val="auto"/>
                <w:kern w:val="0"/>
                <w:sz w:val="22"/>
                <w:szCs w:val="22"/>
                <w:highlight w:val="none"/>
              </w:rPr>
            </w:pPr>
          </w:p>
        </w:tc>
      </w:tr>
      <w:tr w14:paraId="74AA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91" w:type="dxa"/>
            <w:vAlign w:val="center"/>
          </w:tcPr>
          <w:p w14:paraId="257A636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2</w:t>
            </w:r>
          </w:p>
        </w:tc>
        <w:tc>
          <w:tcPr>
            <w:tcW w:w="1073" w:type="dxa"/>
            <w:shd w:val="clear" w:color="auto" w:fill="auto"/>
            <w:vAlign w:val="center"/>
          </w:tcPr>
          <w:p w14:paraId="06E512B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服务技术</w:t>
            </w:r>
            <w:r>
              <w:rPr>
                <w:rFonts w:hint="eastAsia" w:ascii="宋体" w:hAnsi="宋体" w:eastAsia="宋体" w:cs="宋体"/>
                <w:bCs/>
                <w:color w:val="auto"/>
                <w:kern w:val="0"/>
                <w:sz w:val="22"/>
                <w:szCs w:val="22"/>
                <w:highlight w:val="none"/>
              </w:rPr>
              <w:t>方案</w:t>
            </w:r>
          </w:p>
        </w:tc>
        <w:tc>
          <w:tcPr>
            <w:tcW w:w="7481" w:type="dxa"/>
            <w:shd w:val="clear" w:color="auto" w:fill="auto"/>
            <w:vAlign w:val="center"/>
          </w:tcPr>
          <w:p w14:paraId="742C6DE3">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rPr>
              <w:t>对项目要求分析准确，具体方案全面、详细合理；服务实施流程科学、可行、完全满足用户需求，得10分；</w:t>
            </w:r>
          </w:p>
          <w:p w14:paraId="77D6C941">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rPr>
              <w:t>对项目要求分析较准确，具体方案较全面、较合理；服务实施流程较可行、满足用户需求，得8分；</w:t>
            </w:r>
          </w:p>
          <w:p w14:paraId="0A6FA562">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rPr>
              <w:t>对项目要求分析基本准确，具体方案基本全面、合理；服务实施流程基本可行、基本满足用户需求，得6分；</w:t>
            </w:r>
          </w:p>
          <w:p w14:paraId="43362E0E">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rPr>
              <w:t>对项目要求分析一般，具体方案不够全面、合理；服务实施流程有一定可行性、基本满足用户需求，得3分；</w:t>
            </w:r>
          </w:p>
          <w:p w14:paraId="691B4716">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lang w:val="en-US" w:eastAsia="zh-CN"/>
              </w:rPr>
            </w:pPr>
            <w:r>
              <w:rPr>
                <w:rFonts w:hint="eastAsia" w:ascii="宋体" w:hAnsi="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rPr>
              <w:t>对项目要求分析不准确，具体方案不合理；服务实施流程可行性低，无法满足用户需求或未提供技术方案的，得0分。</w:t>
            </w:r>
          </w:p>
        </w:tc>
        <w:tc>
          <w:tcPr>
            <w:tcW w:w="709" w:type="dxa"/>
            <w:vAlign w:val="center"/>
          </w:tcPr>
          <w:p w14:paraId="7F194A1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10</w:t>
            </w:r>
          </w:p>
        </w:tc>
        <w:tc>
          <w:tcPr>
            <w:tcW w:w="709" w:type="dxa"/>
            <w:vAlign w:val="center"/>
          </w:tcPr>
          <w:p w14:paraId="2EF66762">
            <w:pPr>
              <w:autoSpaceDE w:val="0"/>
              <w:autoSpaceDN w:val="0"/>
              <w:adjustRightInd w:val="0"/>
              <w:snapToGrid w:val="0"/>
              <w:spacing w:line="200" w:lineRule="exact"/>
              <w:jc w:val="center"/>
              <w:rPr>
                <w:rFonts w:ascii="宋体" w:hAnsi="宋体" w:cs="宋体"/>
                <w:color w:val="auto"/>
                <w:kern w:val="0"/>
                <w:sz w:val="18"/>
                <w:szCs w:val="18"/>
                <w:highlight w:val="none"/>
              </w:rPr>
            </w:pPr>
          </w:p>
        </w:tc>
      </w:tr>
      <w:tr w14:paraId="7701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691" w:type="dxa"/>
            <w:vAlign w:val="center"/>
          </w:tcPr>
          <w:p w14:paraId="6CCC509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3</w:t>
            </w:r>
          </w:p>
        </w:tc>
        <w:tc>
          <w:tcPr>
            <w:tcW w:w="1073" w:type="dxa"/>
            <w:vAlign w:val="center"/>
          </w:tcPr>
          <w:p w14:paraId="1AC9868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项目进度保障措施</w:t>
            </w:r>
          </w:p>
        </w:tc>
        <w:tc>
          <w:tcPr>
            <w:tcW w:w="7481" w:type="dxa"/>
            <w:vAlign w:val="center"/>
          </w:tcPr>
          <w:p w14:paraId="17B6709D">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rPr>
              <w:t>项目管理、进度安排完善、具体、全面，项目管理及进度安排合理高效、可操作性强，有计划保障，得10分；</w:t>
            </w:r>
          </w:p>
          <w:p w14:paraId="6A8F4935">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rPr>
              <w:t>项目管理、进度安排较完善，项目管理及进度安排较合理高效、可操作性较强，得8分；</w:t>
            </w:r>
          </w:p>
          <w:p w14:paraId="0D45EF89">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rPr>
              <w:t>项目管理、进度安排基本完善，项目管理及进度安排不够合理、可操作性一般，得6分；</w:t>
            </w:r>
          </w:p>
          <w:p w14:paraId="1B7BEEA7">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rPr>
              <w:t>项目管理、进度安排不完善，项目管理及进度安排不合理、可操作性低，得3分；</w:t>
            </w:r>
          </w:p>
          <w:p w14:paraId="2DB39C04">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rPr>
              <w:t>没有项目管理、进度安排，得0分。</w:t>
            </w:r>
          </w:p>
        </w:tc>
        <w:tc>
          <w:tcPr>
            <w:tcW w:w="709" w:type="dxa"/>
            <w:vAlign w:val="center"/>
          </w:tcPr>
          <w:p w14:paraId="07DC69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10</w:t>
            </w:r>
          </w:p>
        </w:tc>
        <w:tc>
          <w:tcPr>
            <w:tcW w:w="709" w:type="dxa"/>
            <w:vAlign w:val="center"/>
          </w:tcPr>
          <w:p w14:paraId="0F76125B">
            <w:pPr>
              <w:autoSpaceDE w:val="0"/>
              <w:autoSpaceDN w:val="0"/>
              <w:adjustRightInd w:val="0"/>
              <w:snapToGrid w:val="0"/>
              <w:spacing w:line="200" w:lineRule="exact"/>
              <w:jc w:val="center"/>
              <w:rPr>
                <w:rFonts w:ascii="宋体" w:hAnsi="宋体" w:cs="宋体"/>
                <w:color w:val="auto"/>
                <w:kern w:val="0"/>
                <w:sz w:val="18"/>
                <w:szCs w:val="18"/>
                <w:highlight w:val="none"/>
              </w:rPr>
            </w:pPr>
          </w:p>
        </w:tc>
      </w:tr>
      <w:tr w14:paraId="3E94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91" w:type="dxa"/>
            <w:vAlign w:val="center"/>
          </w:tcPr>
          <w:p w14:paraId="3B7D911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4</w:t>
            </w:r>
          </w:p>
        </w:tc>
        <w:tc>
          <w:tcPr>
            <w:tcW w:w="1073" w:type="dxa"/>
            <w:vAlign w:val="center"/>
          </w:tcPr>
          <w:p w14:paraId="67599FC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质量控制措施</w:t>
            </w:r>
          </w:p>
        </w:tc>
        <w:tc>
          <w:tcPr>
            <w:tcW w:w="7481" w:type="dxa"/>
            <w:vAlign w:val="center"/>
          </w:tcPr>
          <w:p w14:paraId="4BAABDAA">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rPr>
              <w:t>针对本项目有提供完善到位的质量保证和质量控制措施，按照相关规范、标准制定质量控制方案及质量检测方案，方案完全满足本项目要求的，得10分；</w:t>
            </w:r>
          </w:p>
          <w:p w14:paraId="19566806">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rPr>
              <w:t>针对本项目有提供较完善到位的质量保证和质量控制措施，按照相关规范、标准制定质量控制方案及质量检测方案，方案较能满足本项目要求的，得8分；</w:t>
            </w:r>
          </w:p>
          <w:p w14:paraId="5EC8D04B">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rPr>
              <w:t>针对本项目提供的质量保证和质量控制措施不够完善，有按照相关规范、标准制定质量控制方案及质量检测方案，方案基本能满足本项目要求的，得6分；</w:t>
            </w:r>
          </w:p>
          <w:p w14:paraId="02D20CF5">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rPr>
              <w:t>针对本项目的质量保证和质量控制措施不完善，未按照相关规范、标准制定质量控制方案及质量检测方案，方案大部分无法满足本项目要求的，得3分；</w:t>
            </w:r>
          </w:p>
          <w:p w14:paraId="50CC1EF4">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未提供得0分。</w:t>
            </w:r>
          </w:p>
        </w:tc>
        <w:tc>
          <w:tcPr>
            <w:tcW w:w="709" w:type="dxa"/>
            <w:vAlign w:val="center"/>
          </w:tcPr>
          <w:p w14:paraId="0FD21E9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10</w:t>
            </w:r>
          </w:p>
        </w:tc>
        <w:tc>
          <w:tcPr>
            <w:tcW w:w="709" w:type="dxa"/>
            <w:vAlign w:val="center"/>
          </w:tcPr>
          <w:p w14:paraId="406894A6">
            <w:pPr>
              <w:autoSpaceDE w:val="0"/>
              <w:autoSpaceDN w:val="0"/>
              <w:adjustRightInd w:val="0"/>
              <w:snapToGrid w:val="0"/>
              <w:spacing w:line="200" w:lineRule="exact"/>
              <w:jc w:val="center"/>
              <w:rPr>
                <w:rFonts w:ascii="宋体" w:hAnsi="宋体" w:cs="宋体"/>
                <w:color w:val="auto"/>
                <w:kern w:val="0"/>
                <w:sz w:val="18"/>
                <w:szCs w:val="18"/>
                <w:highlight w:val="none"/>
              </w:rPr>
            </w:pPr>
          </w:p>
        </w:tc>
      </w:tr>
      <w:tr w14:paraId="7BA9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63" w:type="dxa"/>
            <w:gridSpan w:val="5"/>
            <w:vAlign w:val="center"/>
          </w:tcPr>
          <w:p w14:paraId="20A27EC1">
            <w:pPr>
              <w:autoSpaceDE w:val="0"/>
              <w:autoSpaceDN w:val="0"/>
              <w:adjustRightInd w:val="0"/>
              <w:snapToGrid w:val="0"/>
              <w:spacing w:line="200" w:lineRule="exact"/>
              <w:ind w:left="-111" w:leftChars="-37" w:right="-105" w:rightChars="-35"/>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二、商务部分 （</w:t>
            </w:r>
            <w:r>
              <w:rPr>
                <w:rFonts w:hint="eastAsia" w:ascii="宋体" w:hAnsi="宋体" w:cs="宋体"/>
                <w:b/>
                <w:color w:val="auto"/>
                <w:kern w:val="0"/>
                <w:sz w:val="18"/>
                <w:szCs w:val="18"/>
                <w:highlight w:val="none"/>
                <w:lang w:val="en-US" w:eastAsia="zh-CN"/>
              </w:rPr>
              <w:t>40</w:t>
            </w:r>
            <w:r>
              <w:rPr>
                <w:rFonts w:hint="eastAsia" w:ascii="宋体" w:hAnsi="宋体" w:cs="宋体"/>
                <w:b/>
                <w:color w:val="auto"/>
                <w:kern w:val="0"/>
                <w:sz w:val="18"/>
                <w:szCs w:val="18"/>
                <w:highlight w:val="none"/>
              </w:rPr>
              <w:t>分）</w:t>
            </w:r>
          </w:p>
        </w:tc>
      </w:tr>
      <w:tr w14:paraId="5137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91" w:type="dxa"/>
            <w:vAlign w:val="center"/>
          </w:tcPr>
          <w:p w14:paraId="52ACFBA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1</w:t>
            </w:r>
          </w:p>
        </w:tc>
        <w:tc>
          <w:tcPr>
            <w:tcW w:w="1073" w:type="dxa"/>
            <w:vAlign w:val="center"/>
          </w:tcPr>
          <w:p w14:paraId="2CB5A22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lang w:val="en-US" w:eastAsia="zh-CN"/>
              </w:rPr>
              <w:t>服务</w:t>
            </w:r>
            <w:r>
              <w:rPr>
                <w:rFonts w:hint="eastAsia" w:ascii="宋体" w:hAnsi="宋体" w:eastAsia="宋体" w:cs="宋体"/>
                <w:bCs/>
                <w:color w:val="auto"/>
                <w:kern w:val="0"/>
                <w:sz w:val="22"/>
                <w:szCs w:val="22"/>
                <w:highlight w:val="none"/>
              </w:rPr>
              <w:t>商同类项目业绩</w:t>
            </w:r>
          </w:p>
        </w:tc>
        <w:tc>
          <w:tcPr>
            <w:tcW w:w="7481" w:type="dxa"/>
            <w:vAlign w:val="center"/>
          </w:tcPr>
          <w:p w14:paraId="7E8C8E70">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eastAsia="宋体"/>
                <w:color w:val="auto"/>
                <w:highlight w:val="none"/>
                <w:lang w:val="en-US" w:eastAsia="zh-CN"/>
              </w:rPr>
            </w:pPr>
            <w:r>
              <w:rPr>
                <w:rFonts w:hint="eastAsia" w:ascii="宋体" w:hAnsi="宋体" w:eastAsia="宋体" w:cs="宋体"/>
                <w:bCs/>
                <w:color w:val="auto"/>
                <w:kern w:val="0"/>
                <w:sz w:val="22"/>
                <w:szCs w:val="22"/>
                <w:highlight w:val="none"/>
              </w:rPr>
              <w:t>202</w:t>
            </w:r>
            <w:r>
              <w:rPr>
                <w:rFonts w:hint="eastAsia" w:ascii="宋体" w:hAnsi="宋体" w:eastAsia="宋体" w:cs="宋体"/>
                <w:bCs/>
                <w:color w:val="auto"/>
                <w:kern w:val="0"/>
                <w:sz w:val="22"/>
                <w:szCs w:val="22"/>
                <w:highlight w:val="none"/>
                <w:lang w:val="en-US" w:eastAsia="zh-CN"/>
              </w:rPr>
              <w:t>3</w:t>
            </w:r>
            <w:r>
              <w:rPr>
                <w:rFonts w:hint="eastAsia" w:ascii="宋体" w:hAnsi="宋体" w:eastAsia="宋体" w:cs="宋体"/>
                <w:bCs/>
                <w:color w:val="auto"/>
                <w:kern w:val="0"/>
                <w:sz w:val="22"/>
                <w:szCs w:val="22"/>
                <w:highlight w:val="none"/>
              </w:rPr>
              <w:t>年1月1日以来，承担过</w:t>
            </w:r>
            <w:r>
              <w:rPr>
                <w:rFonts w:hint="eastAsia" w:ascii="宋体" w:hAnsi="宋体" w:eastAsia="宋体" w:cs="宋体"/>
                <w:bCs/>
                <w:color w:val="auto"/>
                <w:kern w:val="0"/>
                <w:sz w:val="22"/>
                <w:szCs w:val="22"/>
                <w:highlight w:val="none"/>
                <w:lang w:val="en-US" w:eastAsia="zh-CN"/>
              </w:rPr>
              <w:t>海水</w:t>
            </w:r>
            <w:r>
              <w:rPr>
                <w:rFonts w:hint="eastAsia" w:ascii="宋体" w:hAnsi="宋体" w:eastAsia="宋体" w:cs="宋体"/>
                <w:bCs/>
                <w:color w:val="auto"/>
                <w:kern w:val="0"/>
                <w:sz w:val="22"/>
                <w:szCs w:val="22"/>
                <w:highlight w:val="none"/>
              </w:rPr>
              <w:t>监测检测项目的，每个得</w:t>
            </w:r>
            <w:r>
              <w:rPr>
                <w:rFonts w:hint="eastAsia" w:ascii="宋体" w:hAnsi="宋体" w:eastAsia="宋体" w:cs="宋体"/>
                <w:bCs/>
                <w:color w:val="auto"/>
                <w:kern w:val="0"/>
                <w:sz w:val="22"/>
                <w:szCs w:val="22"/>
                <w:highlight w:val="none"/>
                <w:lang w:val="en-US" w:eastAsia="zh-CN"/>
              </w:rPr>
              <w:t>5</w:t>
            </w:r>
            <w:r>
              <w:rPr>
                <w:rFonts w:hint="eastAsia" w:ascii="宋体" w:hAnsi="宋体" w:eastAsia="宋体" w:cs="宋体"/>
                <w:bCs/>
                <w:color w:val="auto"/>
                <w:kern w:val="0"/>
                <w:sz w:val="22"/>
                <w:szCs w:val="22"/>
                <w:highlight w:val="none"/>
              </w:rPr>
              <w:t>分，最高得</w:t>
            </w:r>
            <w:r>
              <w:rPr>
                <w:rFonts w:hint="eastAsia" w:ascii="宋体" w:hAnsi="宋体" w:eastAsia="宋体" w:cs="宋体"/>
                <w:bCs/>
                <w:color w:val="auto"/>
                <w:kern w:val="0"/>
                <w:sz w:val="22"/>
                <w:szCs w:val="22"/>
                <w:highlight w:val="none"/>
                <w:lang w:val="en-US" w:eastAsia="zh-CN"/>
              </w:rPr>
              <w:t>15</w:t>
            </w:r>
            <w:r>
              <w:rPr>
                <w:rFonts w:hint="eastAsia" w:ascii="宋体" w:hAnsi="宋体" w:eastAsia="宋体" w:cs="宋体"/>
                <w:bCs/>
                <w:color w:val="auto"/>
                <w:kern w:val="0"/>
                <w:sz w:val="22"/>
                <w:szCs w:val="22"/>
                <w:highlight w:val="none"/>
              </w:rPr>
              <w:t>分。</w:t>
            </w:r>
            <w:r>
              <w:rPr>
                <w:rFonts w:hint="eastAsia" w:ascii="宋体" w:hAnsi="宋体" w:cs="宋体"/>
                <w:bCs/>
                <w:color w:val="auto"/>
                <w:kern w:val="0"/>
                <w:sz w:val="22"/>
                <w:szCs w:val="22"/>
                <w:highlight w:val="none"/>
                <w:lang w:val="en-US" w:eastAsia="zh-CN"/>
              </w:rPr>
              <w:t xml:space="preserve">  </w:t>
            </w:r>
          </w:p>
          <w:p w14:paraId="60AF651F">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
                <w:bCs w:val="0"/>
                <w:color w:val="auto"/>
                <w:kern w:val="0"/>
                <w:sz w:val="18"/>
                <w:szCs w:val="18"/>
                <w:highlight w:val="none"/>
              </w:rPr>
            </w:pPr>
          </w:p>
          <w:p w14:paraId="762BF1CC">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
                <w:bCs w:val="0"/>
                <w:color w:val="auto"/>
                <w:kern w:val="0"/>
                <w:sz w:val="20"/>
                <w:szCs w:val="20"/>
                <w:highlight w:val="none"/>
              </w:rPr>
              <w:t>注：提供加盖公章的合同关键信息（含签订合同双方的单位名称、合同项目名称、服务内容与含签订合同双方的落款盖章、签订日期的关键页）复印件作为得分依据。以合同签订时间为准。</w:t>
            </w:r>
          </w:p>
        </w:tc>
        <w:tc>
          <w:tcPr>
            <w:tcW w:w="709" w:type="dxa"/>
            <w:vAlign w:val="center"/>
          </w:tcPr>
          <w:p w14:paraId="2AA31BF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15</w:t>
            </w:r>
          </w:p>
        </w:tc>
        <w:tc>
          <w:tcPr>
            <w:tcW w:w="709" w:type="dxa"/>
            <w:vAlign w:val="center"/>
          </w:tcPr>
          <w:p w14:paraId="59791D78">
            <w:pPr>
              <w:autoSpaceDE w:val="0"/>
              <w:autoSpaceDN w:val="0"/>
              <w:adjustRightInd w:val="0"/>
              <w:snapToGrid w:val="0"/>
              <w:spacing w:line="200" w:lineRule="exact"/>
              <w:ind w:left="-111" w:leftChars="-37" w:right="-105" w:rightChars="-35"/>
              <w:jc w:val="center"/>
              <w:rPr>
                <w:rFonts w:ascii="宋体" w:hAnsi="宋体" w:cs="宋体"/>
                <w:color w:val="auto"/>
                <w:kern w:val="0"/>
                <w:sz w:val="18"/>
                <w:szCs w:val="18"/>
                <w:highlight w:val="none"/>
              </w:rPr>
            </w:pPr>
          </w:p>
        </w:tc>
      </w:tr>
      <w:tr w14:paraId="2167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91" w:type="dxa"/>
            <w:vAlign w:val="center"/>
          </w:tcPr>
          <w:p w14:paraId="4743F9B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2</w:t>
            </w:r>
          </w:p>
        </w:tc>
        <w:tc>
          <w:tcPr>
            <w:tcW w:w="1073" w:type="dxa"/>
            <w:vAlign w:val="center"/>
          </w:tcPr>
          <w:p w14:paraId="324B175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服务商综合实力</w:t>
            </w:r>
          </w:p>
        </w:tc>
        <w:tc>
          <w:tcPr>
            <w:tcW w:w="7481" w:type="dxa"/>
            <w:vAlign w:val="center"/>
          </w:tcPr>
          <w:p w14:paraId="4B05230C">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lang w:val="en-US" w:eastAsia="zh-CN"/>
              </w:rPr>
              <w:t>服务</w:t>
            </w:r>
            <w:r>
              <w:rPr>
                <w:rFonts w:hint="eastAsia" w:ascii="宋体" w:hAnsi="宋体" w:eastAsia="宋体" w:cs="宋体"/>
                <w:bCs/>
                <w:color w:val="auto"/>
                <w:kern w:val="0"/>
                <w:sz w:val="22"/>
                <w:szCs w:val="22"/>
                <w:highlight w:val="none"/>
              </w:rPr>
              <w:t>商同时具有ISO9001质量管理体系认证证书、ISO14001环境管理体系认证证书、ISO</w:t>
            </w:r>
            <w:r>
              <w:rPr>
                <w:rFonts w:hint="eastAsia" w:ascii="宋体" w:hAnsi="宋体" w:eastAsia="宋体" w:cs="宋体"/>
                <w:bCs/>
                <w:color w:val="auto"/>
                <w:kern w:val="0"/>
                <w:sz w:val="22"/>
                <w:szCs w:val="22"/>
                <w:highlight w:val="none"/>
                <w:lang w:val="en-US" w:eastAsia="zh-CN"/>
              </w:rPr>
              <w:t>45001</w:t>
            </w:r>
            <w:r>
              <w:rPr>
                <w:rFonts w:hint="eastAsia" w:ascii="宋体" w:hAnsi="宋体" w:eastAsia="宋体" w:cs="宋体"/>
                <w:bCs/>
                <w:color w:val="auto"/>
                <w:kern w:val="0"/>
                <w:sz w:val="22"/>
                <w:szCs w:val="22"/>
                <w:highlight w:val="none"/>
              </w:rPr>
              <w:t>职业健康安全管理体系认证证书的，每提供1个有效证书得</w:t>
            </w:r>
            <w:r>
              <w:rPr>
                <w:rFonts w:hint="eastAsia" w:ascii="宋体" w:hAnsi="宋体" w:eastAsia="宋体" w:cs="宋体"/>
                <w:bCs/>
                <w:color w:val="auto"/>
                <w:kern w:val="0"/>
                <w:sz w:val="22"/>
                <w:szCs w:val="22"/>
                <w:highlight w:val="none"/>
                <w:lang w:val="en-US" w:eastAsia="zh-CN"/>
              </w:rPr>
              <w:t>1</w:t>
            </w:r>
            <w:r>
              <w:rPr>
                <w:rFonts w:hint="eastAsia" w:ascii="宋体" w:hAnsi="宋体" w:eastAsia="宋体" w:cs="宋体"/>
                <w:bCs/>
                <w:color w:val="auto"/>
                <w:kern w:val="0"/>
                <w:sz w:val="22"/>
                <w:szCs w:val="22"/>
                <w:highlight w:val="none"/>
              </w:rPr>
              <w:t>分，最多得</w:t>
            </w:r>
            <w:r>
              <w:rPr>
                <w:rFonts w:hint="eastAsia" w:ascii="宋体" w:hAnsi="宋体" w:eastAsia="宋体" w:cs="宋体"/>
                <w:bCs/>
                <w:color w:val="auto"/>
                <w:kern w:val="0"/>
                <w:sz w:val="22"/>
                <w:szCs w:val="22"/>
                <w:highlight w:val="none"/>
                <w:lang w:val="en-US" w:eastAsia="zh-CN"/>
              </w:rPr>
              <w:t>3</w:t>
            </w:r>
            <w:r>
              <w:rPr>
                <w:rFonts w:hint="eastAsia" w:ascii="宋体" w:hAnsi="宋体" w:eastAsia="宋体" w:cs="宋体"/>
                <w:bCs/>
                <w:color w:val="auto"/>
                <w:kern w:val="0"/>
                <w:sz w:val="22"/>
                <w:szCs w:val="22"/>
                <w:highlight w:val="none"/>
              </w:rPr>
              <w:t>分，提供有效证书复印件。</w:t>
            </w:r>
          </w:p>
          <w:p w14:paraId="10D0E5B5">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本项最高得</w:t>
            </w:r>
            <w:r>
              <w:rPr>
                <w:rFonts w:hint="eastAsia" w:ascii="宋体" w:hAnsi="宋体" w:eastAsia="宋体" w:cs="宋体"/>
                <w:bCs/>
                <w:color w:val="auto"/>
                <w:kern w:val="0"/>
                <w:sz w:val="22"/>
                <w:szCs w:val="22"/>
                <w:highlight w:val="none"/>
                <w:lang w:val="en-US" w:eastAsia="zh-CN"/>
              </w:rPr>
              <w:t>3</w:t>
            </w:r>
            <w:r>
              <w:rPr>
                <w:rFonts w:hint="eastAsia" w:ascii="宋体" w:hAnsi="宋体" w:eastAsia="宋体" w:cs="宋体"/>
                <w:bCs/>
                <w:color w:val="auto"/>
                <w:kern w:val="0"/>
                <w:sz w:val="22"/>
                <w:szCs w:val="22"/>
                <w:highlight w:val="none"/>
              </w:rPr>
              <w:t>分。</w:t>
            </w:r>
          </w:p>
        </w:tc>
        <w:tc>
          <w:tcPr>
            <w:tcW w:w="709" w:type="dxa"/>
            <w:vAlign w:val="center"/>
          </w:tcPr>
          <w:p w14:paraId="755F8A9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lang w:val="en-US" w:eastAsia="zh-CN"/>
              </w:rPr>
              <w:t>3</w:t>
            </w:r>
          </w:p>
        </w:tc>
        <w:tc>
          <w:tcPr>
            <w:tcW w:w="709" w:type="dxa"/>
            <w:vAlign w:val="center"/>
          </w:tcPr>
          <w:p w14:paraId="34C14660">
            <w:pPr>
              <w:autoSpaceDE w:val="0"/>
              <w:autoSpaceDN w:val="0"/>
              <w:adjustRightInd w:val="0"/>
              <w:snapToGrid w:val="0"/>
              <w:spacing w:line="200" w:lineRule="exact"/>
              <w:ind w:left="-111" w:leftChars="-37" w:right="-105" w:rightChars="-35"/>
              <w:jc w:val="center"/>
              <w:rPr>
                <w:rFonts w:ascii="宋体" w:hAnsi="宋体" w:cs="宋体"/>
                <w:color w:val="auto"/>
                <w:kern w:val="0"/>
                <w:sz w:val="18"/>
                <w:szCs w:val="18"/>
                <w:highlight w:val="none"/>
              </w:rPr>
            </w:pPr>
          </w:p>
        </w:tc>
      </w:tr>
      <w:tr w14:paraId="62A9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91" w:type="dxa"/>
            <w:vAlign w:val="center"/>
          </w:tcPr>
          <w:p w14:paraId="262A8B9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3</w:t>
            </w:r>
          </w:p>
        </w:tc>
        <w:tc>
          <w:tcPr>
            <w:tcW w:w="1073" w:type="dxa"/>
            <w:vAlign w:val="center"/>
          </w:tcPr>
          <w:p w14:paraId="524B508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服务商实验室检测能力</w:t>
            </w:r>
          </w:p>
        </w:tc>
        <w:tc>
          <w:tcPr>
            <w:tcW w:w="7481" w:type="dxa"/>
            <w:vAlign w:val="center"/>
          </w:tcPr>
          <w:p w14:paraId="49ABA369">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lang w:val="en-US" w:eastAsia="zh-CN"/>
              </w:rPr>
              <w:t>服务</w:t>
            </w:r>
            <w:r>
              <w:rPr>
                <w:rFonts w:hint="eastAsia" w:ascii="宋体" w:hAnsi="宋体" w:eastAsia="宋体" w:cs="宋体"/>
                <w:bCs/>
                <w:color w:val="auto"/>
                <w:kern w:val="0"/>
                <w:sz w:val="22"/>
                <w:szCs w:val="22"/>
                <w:highlight w:val="none"/>
              </w:rPr>
              <w:t>商为本项目配备：</w:t>
            </w:r>
          </w:p>
          <w:p w14:paraId="0A2BDCC2">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lang w:val="en-US" w:eastAsia="zh-CN"/>
              </w:rPr>
              <w:t>pH计、盐度计、流量计</w:t>
            </w:r>
            <w:r>
              <w:rPr>
                <w:rFonts w:hint="eastAsia" w:ascii="宋体" w:hAnsi="宋体" w:eastAsia="宋体" w:cs="宋体"/>
                <w:bCs/>
                <w:color w:val="auto"/>
                <w:kern w:val="0"/>
                <w:sz w:val="22"/>
                <w:szCs w:val="22"/>
                <w:highlight w:val="none"/>
              </w:rPr>
              <w:t>、紫外可见光分光光度计、</w:t>
            </w:r>
            <w:r>
              <w:rPr>
                <w:rFonts w:hint="eastAsia" w:ascii="宋体" w:hAnsi="宋体" w:eastAsia="宋体" w:cs="宋体"/>
                <w:bCs/>
                <w:color w:val="auto"/>
                <w:kern w:val="0"/>
                <w:sz w:val="22"/>
                <w:szCs w:val="22"/>
                <w:highlight w:val="none"/>
                <w:lang w:val="en-US" w:eastAsia="zh-CN"/>
              </w:rPr>
              <w:t>抽滤装置</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冷藏箱，以上设备齐全得</w:t>
            </w:r>
            <w:r>
              <w:rPr>
                <w:rFonts w:hint="eastAsia" w:ascii="宋体" w:hAnsi="宋体" w:eastAsia="宋体" w:cs="宋体"/>
                <w:bCs/>
                <w:color w:val="auto"/>
                <w:kern w:val="0"/>
                <w:sz w:val="22"/>
                <w:szCs w:val="22"/>
                <w:highlight w:val="none"/>
                <w:lang w:val="en-US" w:eastAsia="zh-CN"/>
              </w:rPr>
              <w:t>6</w:t>
            </w:r>
            <w:r>
              <w:rPr>
                <w:rFonts w:hint="eastAsia" w:ascii="宋体" w:hAnsi="宋体" w:eastAsia="宋体" w:cs="宋体"/>
                <w:bCs/>
                <w:color w:val="auto"/>
                <w:kern w:val="0"/>
                <w:sz w:val="22"/>
                <w:szCs w:val="22"/>
                <w:highlight w:val="none"/>
              </w:rPr>
              <w:t>分，每缺少一个扣</w:t>
            </w:r>
            <w:r>
              <w:rPr>
                <w:rFonts w:hint="eastAsia" w:ascii="宋体" w:hAnsi="宋体" w:eastAsia="宋体" w:cs="宋体"/>
                <w:bCs/>
                <w:color w:val="auto"/>
                <w:kern w:val="0"/>
                <w:sz w:val="22"/>
                <w:szCs w:val="22"/>
                <w:highlight w:val="none"/>
                <w:lang w:val="en-US" w:eastAsia="zh-CN"/>
              </w:rPr>
              <w:t>1</w:t>
            </w:r>
            <w:r>
              <w:rPr>
                <w:rFonts w:hint="eastAsia" w:ascii="宋体" w:hAnsi="宋体" w:eastAsia="宋体" w:cs="宋体"/>
                <w:bCs/>
                <w:color w:val="auto"/>
                <w:kern w:val="0"/>
                <w:sz w:val="22"/>
                <w:szCs w:val="22"/>
                <w:highlight w:val="none"/>
              </w:rPr>
              <w:t>分，扣完为止。</w:t>
            </w:r>
          </w:p>
          <w:p w14:paraId="624466EC">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本项最高得</w:t>
            </w:r>
            <w:r>
              <w:rPr>
                <w:rFonts w:hint="eastAsia" w:ascii="宋体" w:hAnsi="宋体" w:eastAsia="宋体" w:cs="宋体"/>
                <w:bCs/>
                <w:color w:val="auto"/>
                <w:kern w:val="0"/>
                <w:sz w:val="22"/>
                <w:szCs w:val="22"/>
                <w:highlight w:val="none"/>
                <w:lang w:val="en-US" w:eastAsia="zh-CN"/>
              </w:rPr>
              <w:t>6</w:t>
            </w:r>
            <w:r>
              <w:rPr>
                <w:rFonts w:hint="eastAsia" w:ascii="宋体" w:hAnsi="宋体" w:eastAsia="宋体" w:cs="宋体"/>
                <w:bCs/>
                <w:color w:val="auto"/>
                <w:kern w:val="0"/>
                <w:sz w:val="22"/>
                <w:szCs w:val="22"/>
                <w:highlight w:val="none"/>
              </w:rPr>
              <w:t>分。</w:t>
            </w:r>
          </w:p>
          <w:p w14:paraId="14148562">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
                <w:bCs w:val="0"/>
                <w:color w:val="auto"/>
                <w:kern w:val="0"/>
                <w:sz w:val="20"/>
                <w:szCs w:val="20"/>
                <w:highlight w:val="none"/>
              </w:rPr>
              <w:t>注：提供加盖公章的设备购买发票复印件作为得分依据，未提供的不得分。发票信息需清晰，且购买方为供应商。</w:t>
            </w:r>
          </w:p>
        </w:tc>
        <w:tc>
          <w:tcPr>
            <w:tcW w:w="709" w:type="dxa"/>
            <w:vAlign w:val="center"/>
          </w:tcPr>
          <w:p w14:paraId="5DE508E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lang w:val="en-US" w:eastAsia="zh-CN"/>
              </w:rPr>
              <w:t>6</w:t>
            </w:r>
          </w:p>
        </w:tc>
        <w:tc>
          <w:tcPr>
            <w:tcW w:w="709" w:type="dxa"/>
            <w:vAlign w:val="center"/>
          </w:tcPr>
          <w:p w14:paraId="3D51B206">
            <w:pPr>
              <w:autoSpaceDE w:val="0"/>
              <w:autoSpaceDN w:val="0"/>
              <w:adjustRightInd w:val="0"/>
              <w:snapToGrid w:val="0"/>
              <w:spacing w:line="200" w:lineRule="exact"/>
              <w:ind w:left="-111" w:leftChars="-37" w:right="-105" w:rightChars="-35"/>
              <w:jc w:val="center"/>
              <w:rPr>
                <w:rFonts w:ascii="宋体" w:hAnsi="宋体" w:cs="宋体"/>
                <w:color w:val="auto"/>
                <w:kern w:val="0"/>
                <w:sz w:val="18"/>
                <w:szCs w:val="18"/>
                <w:highlight w:val="none"/>
              </w:rPr>
            </w:pPr>
          </w:p>
        </w:tc>
      </w:tr>
      <w:tr w14:paraId="0258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91" w:type="dxa"/>
            <w:vAlign w:val="center"/>
          </w:tcPr>
          <w:p w14:paraId="4886088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4</w:t>
            </w:r>
          </w:p>
        </w:tc>
        <w:tc>
          <w:tcPr>
            <w:tcW w:w="1073" w:type="dxa"/>
            <w:vAlign w:val="center"/>
          </w:tcPr>
          <w:p w14:paraId="471D46D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lang w:val="en-US" w:eastAsia="zh-CN"/>
              </w:rPr>
              <w:t>项目组人员</w:t>
            </w:r>
          </w:p>
        </w:tc>
        <w:tc>
          <w:tcPr>
            <w:tcW w:w="7481" w:type="dxa"/>
            <w:vAlign w:val="center"/>
          </w:tcPr>
          <w:p w14:paraId="199923FD">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1、项目负责人：</w:t>
            </w:r>
          </w:p>
          <w:p w14:paraId="4D0AEA8D">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具有环境类或测试类专业高级技术职称</w:t>
            </w:r>
            <w:r>
              <w:rPr>
                <w:rFonts w:hint="eastAsia" w:ascii="宋体" w:hAnsi="宋体" w:eastAsia="宋体" w:cs="宋体"/>
                <w:bCs/>
                <w:color w:val="auto"/>
                <w:kern w:val="0"/>
                <w:sz w:val="22"/>
                <w:szCs w:val="22"/>
                <w:highlight w:val="none"/>
                <w:lang w:val="en-US" w:eastAsia="zh-CN"/>
              </w:rPr>
              <w:t>或以上</w:t>
            </w:r>
            <w:r>
              <w:rPr>
                <w:rFonts w:hint="eastAsia" w:ascii="宋体" w:hAnsi="宋体" w:eastAsia="宋体" w:cs="宋体"/>
                <w:bCs/>
                <w:color w:val="auto"/>
                <w:kern w:val="0"/>
                <w:sz w:val="22"/>
                <w:szCs w:val="22"/>
                <w:highlight w:val="none"/>
              </w:rPr>
              <w:t>的，得</w:t>
            </w:r>
            <w:r>
              <w:rPr>
                <w:rFonts w:hint="eastAsia" w:ascii="宋体" w:hAnsi="宋体" w:eastAsia="宋体" w:cs="宋体"/>
                <w:bCs/>
                <w:color w:val="auto"/>
                <w:kern w:val="0"/>
                <w:sz w:val="22"/>
                <w:szCs w:val="22"/>
                <w:highlight w:val="none"/>
                <w:lang w:val="en-US" w:eastAsia="zh-CN"/>
              </w:rPr>
              <w:t>4</w:t>
            </w:r>
            <w:r>
              <w:rPr>
                <w:rFonts w:hint="eastAsia" w:ascii="宋体" w:hAnsi="宋体" w:eastAsia="宋体" w:cs="宋体"/>
                <w:bCs/>
                <w:color w:val="auto"/>
                <w:kern w:val="0"/>
                <w:sz w:val="22"/>
                <w:szCs w:val="22"/>
                <w:highlight w:val="none"/>
              </w:rPr>
              <w:t>分；</w:t>
            </w:r>
          </w:p>
          <w:p w14:paraId="458D6458">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本小项最高得分为</w:t>
            </w:r>
            <w:r>
              <w:rPr>
                <w:rFonts w:hint="eastAsia" w:ascii="宋体" w:hAnsi="宋体" w:eastAsia="宋体" w:cs="宋体"/>
                <w:bCs/>
                <w:color w:val="auto"/>
                <w:kern w:val="0"/>
                <w:sz w:val="22"/>
                <w:szCs w:val="22"/>
                <w:highlight w:val="none"/>
                <w:lang w:val="en-US" w:eastAsia="zh-CN"/>
              </w:rPr>
              <w:t>4</w:t>
            </w:r>
            <w:r>
              <w:rPr>
                <w:rFonts w:hint="eastAsia" w:ascii="宋体" w:hAnsi="宋体" w:eastAsia="宋体" w:cs="宋体"/>
                <w:bCs/>
                <w:color w:val="auto"/>
                <w:kern w:val="0"/>
                <w:sz w:val="22"/>
                <w:szCs w:val="22"/>
                <w:highlight w:val="none"/>
              </w:rPr>
              <w:t>分。</w:t>
            </w:r>
          </w:p>
          <w:p w14:paraId="703252CB">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
                <w:bCs w:val="0"/>
                <w:color w:val="auto"/>
                <w:kern w:val="0"/>
                <w:sz w:val="20"/>
                <w:szCs w:val="20"/>
                <w:highlight w:val="none"/>
              </w:rPr>
            </w:pPr>
            <w:r>
              <w:rPr>
                <w:rFonts w:hint="eastAsia" w:ascii="宋体" w:hAnsi="宋体" w:eastAsia="宋体" w:cs="宋体"/>
                <w:b/>
                <w:bCs w:val="0"/>
                <w:color w:val="auto"/>
                <w:kern w:val="0"/>
                <w:sz w:val="20"/>
                <w:szCs w:val="20"/>
                <w:highlight w:val="none"/>
              </w:rPr>
              <w:t>注：提供项目负责人职称证书复印件和开标前半年内</w:t>
            </w:r>
            <w:r>
              <w:rPr>
                <w:rFonts w:hint="eastAsia" w:ascii="宋体" w:hAnsi="宋体" w:eastAsia="宋体" w:cs="宋体"/>
                <w:b/>
                <w:bCs w:val="0"/>
                <w:color w:val="auto"/>
                <w:kern w:val="0"/>
                <w:sz w:val="20"/>
                <w:szCs w:val="20"/>
                <w:highlight w:val="none"/>
                <w:lang w:val="ru-RU"/>
              </w:rPr>
              <w:t>任意1个月供应商为其购买的社保证明材料复印件（投保单或社会保险参保人员缴费证明或单位代缴个人所得税税单复印件）并加盖公章，否则不计分。</w:t>
            </w:r>
          </w:p>
          <w:p w14:paraId="6173A06D">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2、拟投入本项目团队人员（除项目负责人外），具有环境类或测试类专业中级技术职称或以上的，每人得2分</w:t>
            </w:r>
            <w:r>
              <w:rPr>
                <w:rFonts w:hint="eastAsia" w:ascii="宋体" w:hAnsi="宋体" w:eastAsia="宋体" w:cs="宋体"/>
                <w:bCs/>
                <w:color w:val="auto"/>
                <w:kern w:val="0"/>
                <w:sz w:val="22"/>
                <w:szCs w:val="22"/>
                <w:highlight w:val="none"/>
                <w:lang w:val="en-US" w:eastAsia="zh-CN"/>
              </w:rPr>
              <w:t>；</w:t>
            </w:r>
            <w:r>
              <w:rPr>
                <w:rFonts w:hint="eastAsia" w:ascii="宋体" w:hAnsi="宋体" w:eastAsia="宋体" w:cs="宋体"/>
                <w:bCs/>
                <w:color w:val="auto"/>
                <w:kern w:val="0"/>
                <w:sz w:val="22"/>
                <w:szCs w:val="22"/>
                <w:highlight w:val="none"/>
              </w:rPr>
              <w:t>具有环境类或测试类专业</w:t>
            </w:r>
            <w:r>
              <w:rPr>
                <w:rFonts w:hint="eastAsia" w:ascii="宋体" w:hAnsi="宋体" w:eastAsia="宋体" w:cs="宋体"/>
                <w:bCs/>
                <w:color w:val="auto"/>
                <w:kern w:val="0"/>
                <w:sz w:val="22"/>
                <w:szCs w:val="22"/>
                <w:highlight w:val="none"/>
                <w:lang w:val="en-US" w:eastAsia="zh-CN"/>
              </w:rPr>
              <w:t>助理级</w:t>
            </w:r>
            <w:r>
              <w:rPr>
                <w:rFonts w:hint="eastAsia" w:ascii="宋体" w:hAnsi="宋体" w:eastAsia="宋体" w:cs="宋体"/>
                <w:bCs/>
                <w:color w:val="auto"/>
                <w:kern w:val="0"/>
                <w:sz w:val="22"/>
                <w:szCs w:val="22"/>
                <w:highlight w:val="none"/>
              </w:rPr>
              <w:t>技术职称，每人得</w:t>
            </w:r>
            <w:r>
              <w:rPr>
                <w:rFonts w:hint="eastAsia" w:ascii="宋体" w:hAnsi="宋体" w:eastAsia="宋体" w:cs="宋体"/>
                <w:bCs/>
                <w:color w:val="auto"/>
                <w:kern w:val="0"/>
                <w:sz w:val="22"/>
                <w:szCs w:val="22"/>
                <w:highlight w:val="none"/>
                <w:lang w:val="en-US" w:eastAsia="zh-CN"/>
              </w:rPr>
              <w:t>1</w:t>
            </w:r>
            <w:r>
              <w:rPr>
                <w:rFonts w:hint="eastAsia" w:ascii="宋体" w:hAnsi="宋体" w:eastAsia="宋体" w:cs="宋体"/>
                <w:bCs/>
                <w:color w:val="auto"/>
                <w:kern w:val="0"/>
                <w:sz w:val="22"/>
                <w:szCs w:val="22"/>
                <w:highlight w:val="none"/>
              </w:rPr>
              <w:t>分。如一人具有多个同一等级技术职称的，按一个技术职称评审；不重复计分。本小项最高得1</w:t>
            </w:r>
            <w:r>
              <w:rPr>
                <w:rFonts w:hint="eastAsia" w:ascii="宋体" w:hAnsi="宋体" w:eastAsia="宋体" w:cs="宋体"/>
                <w:bCs/>
                <w:color w:val="auto"/>
                <w:kern w:val="0"/>
                <w:sz w:val="22"/>
                <w:szCs w:val="22"/>
                <w:highlight w:val="none"/>
                <w:lang w:val="en-US" w:eastAsia="zh-CN"/>
              </w:rPr>
              <w:t>2</w:t>
            </w:r>
            <w:r>
              <w:rPr>
                <w:rFonts w:hint="eastAsia" w:ascii="宋体" w:hAnsi="宋体" w:eastAsia="宋体" w:cs="宋体"/>
                <w:bCs/>
                <w:color w:val="auto"/>
                <w:kern w:val="0"/>
                <w:sz w:val="22"/>
                <w:szCs w:val="22"/>
                <w:highlight w:val="none"/>
              </w:rPr>
              <w:t>分；无不得分。</w:t>
            </w:r>
          </w:p>
          <w:p w14:paraId="20AB3F4E">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
                <w:bCs w:val="0"/>
                <w:color w:val="auto"/>
                <w:kern w:val="0"/>
                <w:sz w:val="20"/>
                <w:szCs w:val="20"/>
                <w:highlight w:val="none"/>
                <w:lang w:val="ru-RU"/>
              </w:rPr>
              <w:t>注：提供上述人员清单，证书复印件及</w:t>
            </w:r>
            <w:r>
              <w:rPr>
                <w:rFonts w:hint="eastAsia" w:ascii="宋体" w:hAnsi="宋体" w:eastAsia="宋体" w:cs="宋体"/>
                <w:b/>
                <w:bCs w:val="0"/>
                <w:color w:val="auto"/>
                <w:kern w:val="0"/>
                <w:sz w:val="20"/>
                <w:szCs w:val="20"/>
                <w:highlight w:val="none"/>
              </w:rPr>
              <w:t>开标前半年内</w:t>
            </w:r>
            <w:r>
              <w:rPr>
                <w:rFonts w:hint="eastAsia" w:ascii="宋体" w:hAnsi="宋体" w:eastAsia="宋体" w:cs="宋体"/>
                <w:b/>
                <w:bCs w:val="0"/>
                <w:color w:val="auto"/>
                <w:kern w:val="0"/>
                <w:sz w:val="20"/>
                <w:szCs w:val="20"/>
                <w:highlight w:val="none"/>
                <w:lang w:val="ru-RU"/>
              </w:rPr>
              <w:t>任意1个月供应商为上述人员购买的社保证明材料复印件（投保单或社会保险参保人员缴费证明或单位代缴个人所得税税单复印件）并加盖公章，否则不计分。</w:t>
            </w:r>
          </w:p>
        </w:tc>
        <w:tc>
          <w:tcPr>
            <w:tcW w:w="709" w:type="dxa"/>
            <w:vAlign w:val="center"/>
          </w:tcPr>
          <w:p w14:paraId="33E39DD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rPr>
              <w:t>1</w:t>
            </w:r>
            <w:r>
              <w:rPr>
                <w:rFonts w:hint="eastAsia" w:ascii="宋体" w:hAnsi="宋体" w:eastAsia="宋体" w:cs="宋体"/>
                <w:bCs/>
                <w:color w:val="auto"/>
                <w:kern w:val="0"/>
                <w:sz w:val="22"/>
                <w:szCs w:val="22"/>
                <w:highlight w:val="none"/>
                <w:lang w:val="en-US" w:eastAsia="zh-CN"/>
              </w:rPr>
              <w:t>6</w:t>
            </w:r>
          </w:p>
        </w:tc>
        <w:tc>
          <w:tcPr>
            <w:tcW w:w="709" w:type="dxa"/>
            <w:vAlign w:val="center"/>
          </w:tcPr>
          <w:p w14:paraId="67730499">
            <w:pPr>
              <w:autoSpaceDE w:val="0"/>
              <w:autoSpaceDN w:val="0"/>
              <w:adjustRightInd w:val="0"/>
              <w:snapToGrid w:val="0"/>
              <w:spacing w:line="200" w:lineRule="exact"/>
              <w:ind w:left="-111" w:leftChars="-37" w:right="-105" w:rightChars="-35"/>
              <w:jc w:val="center"/>
              <w:rPr>
                <w:rFonts w:ascii="宋体" w:hAnsi="宋体" w:cs="宋体"/>
                <w:color w:val="auto"/>
                <w:kern w:val="0"/>
                <w:sz w:val="18"/>
                <w:szCs w:val="18"/>
                <w:highlight w:val="none"/>
              </w:rPr>
            </w:pPr>
          </w:p>
        </w:tc>
      </w:tr>
      <w:tr w14:paraId="0938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663" w:type="dxa"/>
            <w:gridSpan w:val="5"/>
            <w:vAlign w:val="center"/>
          </w:tcPr>
          <w:p w14:paraId="75158735">
            <w:pPr>
              <w:autoSpaceDE w:val="0"/>
              <w:autoSpaceDN w:val="0"/>
              <w:adjustRightInd w:val="0"/>
              <w:snapToGrid w:val="0"/>
              <w:spacing w:line="200" w:lineRule="exact"/>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三、价格部分（10分）</w:t>
            </w:r>
          </w:p>
        </w:tc>
      </w:tr>
      <w:tr w14:paraId="6161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91" w:type="dxa"/>
            <w:vAlign w:val="center"/>
          </w:tcPr>
          <w:p w14:paraId="1F6D287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1</w:t>
            </w:r>
          </w:p>
        </w:tc>
        <w:tc>
          <w:tcPr>
            <w:tcW w:w="1073" w:type="dxa"/>
            <w:vAlign w:val="center"/>
          </w:tcPr>
          <w:p w14:paraId="5013DBA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lang w:val="en-US" w:eastAsia="zh-CN"/>
              </w:rPr>
              <w:t>价格得分</w:t>
            </w:r>
          </w:p>
        </w:tc>
        <w:tc>
          <w:tcPr>
            <w:tcW w:w="7481" w:type="dxa"/>
            <w:vAlign w:val="center"/>
          </w:tcPr>
          <w:p w14:paraId="2965EA28">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价格分应当采用低价优先法计算，即满足采购需求且报价最低的为基准价，该项价格得分为满分。其他供应商的价格得分统一按照下列公式计算： 供应商价格得分=(基准价／报价)×10，价格得分四舍五入后保留小数点后两位有效数。</w:t>
            </w:r>
          </w:p>
        </w:tc>
        <w:tc>
          <w:tcPr>
            <w:tcW w:w="709" w:type="dxa"/>
            <w:vAlign w:val="center"/>
          </w:tcPr>
          <w:p w14:paraId="1F21BB3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10</w:t>
            </w:r>
          </w:p>
        </w:tc>
        <w:tc>
          <w:tcPr>
            <w:tcW w:w="709" w:type="dxa"/>
            <w:vAlign w:val="center"/>
          </w:tcPr>
          <w:p w14:paraId="6B08DADC">
            <w:pPr>
              <w:autoSpaceDE w:val="0"/>
              <w:autoSpaceDN w:val="0"/>
              <w:adjustRightInd w:val="0"/>
              <w:snapToGrid w:val="0"/>
              <w:spacing w:line="200" w:lineRule="exact"/>
              <w:ind w:left="-111" w:leftChars="-37" w:right="-105" w:rightChars="-35"/>
              <w:jc w:val="center"/>
              <w:rPr>
                <w:rFonts w:ascii="宋体" w:hAnsi="宋体" w:cs="宋体"/>
                <w:color w:val="auto"/>
                <w:kern w:val="0"/>
                <w:sz w:val="18"/>
                <w:szCs w:val="18"/>
                <w:highlight w:val="none"/>
              </w:rPr>
            </w:pPr>
          </w:p>
        </w:tc>
      </w:tr>
      <w:tr w14:paraId="138C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245" w:type="dxa"/>
            <w:gridSpan w:val="3"/>
            <w:vAlign w:val="center"/>
          </w:tcPr>
          <w:p w14:paraId="54003457">
            <w:pPr>
              <w:autoSpaceDE w:val="0"/>
              <w:autoSpaceDN w:val="0"/>
              <w:adjustRightInd w:val="0"/>
              <w:snapToGrid w:val="0"/>
              <w:spacing w:line="200" w:lineRule="exact"/>
              <w:ind w:left="-111" w:leftChars="-37" w:right="-105" w:rightChars="-35"/>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合计</w:t>
            </w:r>
          </w:p>
        </w:tc>
        <w:tc>
          <w:tcPr>
            <w:tcW w:w="709" w:type="dxa"/>
            <w:vAlign w:val="center"/>
          </w:tcPr>
          <w:p w14:paraId="5842D867">
            <w:pPr>
              <w:autoSpaceDE w:val="0"/>
              <w:autoSpaceDN w:val="0"/>
              <w:adjustRightInd w:val="0"/>
              <w:snapToGrid w:val="0"/>
              <w:spacing w:line="200" w:lineRule="exact"/>
              <w:ind w:left="-111" w:leftChars="-37" w:right="-105" w:rightChars="-35"/>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 xml:space="preserve">100分 </w:t>
            </w:r>
          </w:p>
        </w:tc>
        <w:tc>
          <w:tcPr>
            <w:tcW w:w="709" w:type="dxa"/>
            <w:vAlign w:val="center"/>
          </w:tcPr>
          <w:p w14:paraId="0D7D98B2">
            <w:pPr>
              <w:autoSpaceDE w:val="0"/>
              <w:autoSpaceDN w:val="0"/>
              <w:adjustRightInd w:val="0"/>
              <w:snapToGrid w:val="0"/>
              <w:spacing w:line="200" w:lineRule="exact"/>
              <w:ind w:left="-111" w:leftChars="-37" w:right="-105" w:rightChars="-35"/>
              <w:jc w:val="center"/>
              <w:rPr>
                <w:rFonts w:ascii="宋体" w:hAnsi="宋体" w:cs="宋体"/>
                <w:b/>
                <w:color w:val="auto"/>
                <w:kern w:val="0"/>
                <w:sz w:val="18"/>
                <w:szCs w:val="18"/>
                <w:highlight w:val="none"/>
              </w:rPr>
            </w:pPr>
          </w:p>
        </w:tc>
      </w:tr>
    </w:tbl>
    <w:p w14:paraId="53AA8300">
      <w:pPr>
        <w:widowControl/>
        <w:ind w:left="-1200" w:leftChars="-400" w:firstLine="0" w:firstLineChars="0"/>
        <w:jc w:val="both"/>
        <w:outlineLvl w:val="0"/>
        <w:rPr>
          <w:rFonts w:hint="eastAsia" w:ascii="宋体" w:hAnsi="宋体" w:cs="宋体"/>
          <w:color w:val="auto"/>
          <w:kern w:val="0"/>
          <w:sz w:val="21"/>
          <w:szCs w:val="21"/>
          <w:highlight w:val="none"/>
        </w:rPr>
      </w:pPr>
    </w:p>
    <w:p w14:paraId="5E783408">
      <w:pPr>
        <w:widowControl/>
        <w:ind w:left="-1200" w:leftChars="-400" w:right="-93" w:rightChars="-31" w:firstLine="0" w:firstLineChars="0"/>
        <w:jc w:val="both"/>
        <w:outlineLvl w:val="0"/>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评审人签名：</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评审日期：       年     月     日</w:t>
      </w:r>
    </w:p>
    <w:p w14:paraId="20D7310E">
      <w:pPr>
        <w:rPr>
          <w:color w:val="auto"/>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B6B62"/>
    <w:rsid w:val="095A2369"/>
    <w:rsid w:val="140A6DEE"/>
    <w:rsid w:val="144A7E38"/>
    <w:rsid w:val="257F2970"/>
    <w:rsid w:val="2F414E54"/>
    <w:rsid w:val="365A3471"/>
    <w:rsid w:val="36E3667F"/>
    <w:rsid w:val="38DF3B98"/>
    <w:rsid w:val="43590756"/>
    <w:rsid w:val="451B6B62"/>
    <w:rsid w:val="4EC25F65"/>
    <w:rsid w:val="55A2658D"/>
    <w:rsid w:val="5A7A7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before="997"/>
      <w:ind w:left="104"/>
    </w:pPr>
    <w:rPr>
      <w:rFonts w:ascii="宋体"/>
      <w:sz w:val="18"/>
    </w:rPr>
  </w:style>
  <w:style w:type="paragraph" w:styleId="3">
    <w:name w:val="Body Text"/>
    <w:basedOn w:val="1"/>
    <w:unhideWhenUsed/>
    <w:qFormat/>
    <w:uiPriority w:val="99"/>
    <w:pPr>
      <w:spacing w:after="120"/>
    </w:pPr>
  </w:style>
  <w:style w:type="paragraph" w:styleId="4">
    <w:name w:val="Plain Text"/>
    <w:basedOn w:val="1"/>
    <w:qFormat/>
    <w:uiPriority w:val="0"/>
    <w:rPr>
      <w:rFonts w:ascii="宋体" w:hAnsi="Courier New"/>
    </w:rPr>
  </w:style>
  <w:style w:type="paragraph" w:styleId="5">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66</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2023-05-17T03:35:00Z</dcterms:created>
  <dc:creator>李耀明</dc:creator>
  <cp:lastModifiedBy>Administrator</cp:lastModifiedBy>
  <dcterms:modified xsi:type="dcterms:W3CDTF">2025-06-30T09:38:58Z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ribbonExt">
    <vt:lpwstr>{"WPSExtOfficeTab":{"OnGetEnabled":false,"OnGetVisible":false}}</vt:lpwstr>
  </property>
  <property fmtid="{D5CDD505-2E9C-101B-9397-08002B2CF9AE}" pid="4" name="ICV">
    <vt:lpwstr>3797C8B355AE4C92A3967938D1490C8D_12</vt:lpwstr>
  </property>
</Properties>
</file>