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ind w:firstLine="0" w:firstLineChars="0"/>
        <w:jc w:val="center"/>
        <w:rPr>
          <w:rFonts w:hint="eastAsia" w:ascii="Times New Roman" w:hAnsi="Times New Roman" w:eastAsia="方正小标宋_GBK"/>
          <w:sz w:val="36"/>
          <w:szCs w:val="36"/>
        </w:rPr>
      </w:pPr>
    </w:p>
    <w:p>
      <w:pPr>
        <w:pStyle w:val="39"/>
        <w:ind w:firstLine="0" w:firstLineChars="0"/>
        <w:jc w:val="center"/>
        <w:rPr>
          <w:rFonts w:hint="eastAsia" w:ascii="Times New Roman" w:hAnsi="Times New Roman" w:eastAsia="方正小标宋_GBK"/>
          <w:bCs/>
          <w:kern w:val="2"/>
          <w:sz w:val="36"/>
          <w:szCs w:val="36"/>
          <w:lang w:val="en-US"/>
        </w:rPr>
      </w:pPr>
      <w:r>
        <w:rPr>
          <w:rFonts w:hint="eastAsia" w:ascii="Times New Roman" w:hAnsi="Times New Roman" w:eastAsia="方正小标宋_GBK"/>
          <w:sz w:val="36"/>
          <w:szCs w:val="36"/>
        </w:rPr>
        <w:t>2025-2026</w:t>
      </w:r>
      <w:r>
        <w:rPr>
          <w:rFonts w:hint="eastAsia" w:ascii="Times New Roman" w:hAnsi="Times New Roman" w:eastAsia="方正小标宋_GBK"/>
          <w:sz w:val="36"/>
          <w:szCs w:val="36"/>
          <w:lang w:eastAsia="zh-CN"/>
        </w:rPr>
        <w:t>年</w:t>
      </w:r>
      <w:r>
        <w:rPr>
          <w:rFonts w:hint="eastAsia" w:ascii="Times New Roman" w:hAnsi="Times New Roman" w:eastAsia="方正小标宋_GBK"/>
          <w:sz w:val="36"/>
          <w:szCs w:val="36"/>
        </w:rPr>
        <w:t>江门市环境质量市控自动监测站运行维护项目</w:t>
      </w:r>
      <w:r>
        <w:rPr>
          <w:rFonts w:hint="eastAsia" w:ascii="Times New Roman" w:hAnsi="Times New Roman" w:eastAsia="方正小标宋_GBK"/>
          <w:bCs/>
          <w:kern w:val="2"/>
          <w:sz w:val="36"/>
          <w:szCs w:val="36"/>
          <w:lang w:val="en-US"/>
        </w:rPr>
        <w:t>评分表</w:t>
      </w:r>
    </w:p>
    <w:tbl>
      <w:tblPr>
        <w:tblStyle w:val="16"/>
        <w:tblpPr w:leftFromText="180" w:rightFromText="180" w:vertAnchor="text" w:horzAnchor="page" w:tblpX="1577" w:tblpY="603"/>
        <w:tblOverlap w:val="never"/>
        <w:tblW w:w="1385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3"/>
        <w:gridCol w:w="960"/>
        <w:gridCol w:w="7865"/>
        <w:gridCol w:w="706"/>
        <w:gridCol w:w="911"/>
        <w:gridCol w:w="912"/>
        <w:gridCol w:w="912"/>
        <w:gridCol w:w="9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trPr>
        <w:tc>
          <w:tcPr>
            <w:tcW w:w="673" w:type="dxa"/>
            <w:tcBorders>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960"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评审</w:t>
            </w:r>
          </w:p>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因素</w:t>
            </w:r>
          </w:p>
        </w:tc>
        <w:tc>
          <w:tcPr>
            <w:tcW w:w="7865"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评分细则</w:t>
            </w:r>
          </w:p>
        </w:tc>
        <w:tc>
          <w:tcPr>
            <w:tcW w:w="706"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分值（分）</w:t>
            </w:r>
          </w:p>
        </w:tc>
        <w:tc>
          <w:tcPr>
            <w:tcW w:w="911"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供应商1</w:t>
            </w:r>
          </w:p>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得分（分）</w:t>
            </w:r>
          </w:p>
        </w:tc>
        <w:tc>
          <w:tcPr>
            <w:tcW w:w="912"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供应商2</w:t>
            </w:r>
          </w:p>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得分（分）</w:t>
            </w:r>
          </w:p>
        </w:tc>
        <w:tc>
          <w:tcPr>
            <w:tcW w:w="912" w:type="dxa"/>
            <w:tcBorders>
              <w:left w:val="single" w:color="auto" w:sz="6" w:space="0"/>
              <w:bottom w:val="single" w:color="auto" w:sz="6" w:space="0"/>
              <w:right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供应商3</w:t>
            </w:r>
          </w:p>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得分（分）</w:t>
            </w:r>
          </w:p>
        </w:tc>
        <w:tc>
          <w:tcPr>
            <w:tcW w:w="912" w:type="dxa"/>
            <w:tcBorders>
              <w:left w:val="single" w:color="auto" w:sz="6" w:space="0"/>
              <w:bottom w:val="single" w:color="auto" w:sz="6" w:space="0"/>
            </w:tcBorders>
            <w:noWrap w:val="0"/>
            <w:vAlign w:val="center"/>
          </w:tcPr>
          <w:p>
            <w:pPr>
              <w:autoSpaceDE w:val="0"/>
              <w:autoSpaceDN w:val="0"/>
              <w:adjustRightInd w:val="0"/>
              <w:snapToGrid w:val="0"/>
              <w:spacing w:line="264" w:lineRule="auto"/>
              <w:ind w:left="-78" w:leftChars="-37" w:right="-73" w:rightChars="-35"/>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851" w:type="dxa"/>
            <w:gridSpan w:val="8"/>
            <w:tcBorders>
              <w:bottom w:val="single" w:color="auto" w:sz="6" w:space="0"/>
            </w:tcBorders>
            <w:noWrap w:val="0"/>
            <w:vAlign w:val="center"/>
          </w:tcPr>
          <w:p>
            <w:pPr>
              <w:autoSpaceDE w:val="0"/>
              <w:autoSpaceDN w:val="0"/>
              <w:adjustRightInd w:val="0"/>
              <w:snapToGrid w:val="0"/>
              <w:spacing w:line="264" w:lineRule="auto"/>
              <w:ind w:left="-78" w:leftChars="-37" w:right="-73" w:rightChars="-35"/>
              <w:jc w:val="left"/>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一、技术部分 （30分）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3" w:type="dxa"/>
            <w:tcBorders>
              <w:top w:val="single" w:color="auto" w:sz="6" w:space="0"/>
              <w:bottom w:val="single" w:color="auto" w:sz="6" w:space="0"/>
              <w:right w:val="single" w:color="auto" w:sz="6" w:space="0"/>
            </w:tcBorders>
            <w:noWrap w:val="0"/>
            <w:vAlign w:val="center"/>
          </w:tcPr>
          <w:p>
            <w:pPr>
              <w:numPr>
                <w:ilvl w:val="0"/>
                <w:numId w:val="1"/>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实施</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根据供应商针对本项目的实施方案（包括但不限于运维服务方案、质控方案、应急预案、项目重难点分析等）进行评审：</w:t>
            </w:r>
          </w:p>
          <w:p>
            <w:pPr>
              <w:rPr>
                <w:rFonts w:hint="eastAsia" w:ascii="仿宋_GB2312" w:hAnsi="仿宋_GB2312" w:eastAsia="仿宋_GB2312" w:cs="仿宋_GB2312"/>
                <w:szCs w:val="21"/>
              </w:rPr>
            </w:pPr>
            <w:r>
              <w:rPr>
                <w:rFonts w:hint="eastAsia" w:ascii="仿宋_GB2312" w:hAnsi="仿宋_GB2312" w:eastAsia="仿宋_GB2312" w:cs="仿宋_GB2312"/>
                <w:szCs w:val="21"/>
              </w:rPr>
              <w:t>（1）项目实施方案完整详细、科学合理、可行性强，有针对性，人员安排、工作部署符合采购人工作要求，响应情况满足或优于采购文件要求的，得20分；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（2）项目实施方案详细、合理、具有一定的可行性，人员安排、工作部署大部分符合采购人工作要求，响应情况大部分能满足采购文件要求的，得15分；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（3）项目实施方案完整、但可行性不足，人员安排、工作部署不足，响应情况部分能满足采购文件要求，得10分；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（4）项目实施方案不详细，人员安排、工作部署不合理，不符合采购人工作要求，响应情况不能满足采购文件要求，得5分；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（5）未提交响应内容或其他情况，不得分。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3" w:type="dxa"/>
            <w:tcBorders>
              <w:top w:val="single" w:color="auto" w:sz="6" w:space="0"/>
              <w:bottom w:val="single" w:color="auto" w:sz="6" w:space="0"/>
              <w:right w:val="single" w:color="auto" w:sz="6" w:space="0"/>
            </w:tcBorders>
            <w:noWrap w:val="0"/>
            <w:vAlign w:val="center"/>
          </w:tcPr>
          <w:p>
            <w:pPr>
              <w:numPr>
                <w:ilvl w:val="0"/>
                <w:numId w:val="1"/>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仪器设备维修及维护保养方案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pStyle w:val="11"/>
              <w:ind w:firstLine="0" w:firstLineChars="0"/>
              <w:rPr>
                <w:rFonts w:hint="eastAsia" w:ascii="仿宋_GB2312" w:hAnsi="仿宋_GB2312" w:eastAsia="仿宋_GB2312" w:cs="仿宋_GB2312"/>
              </w:rPr>
            </w:pPr>
            <w:r>
              <w:rPr>
                <w:rFonts w:hint="eastAsia" w:ascii="仿宋_GB2312" w:hAnsi="仿宋_GB2312" w:eastAsia="仿宋_GB2312" w:cs="仿宋_GB2312"/>
              </w:rPr>
              <w:t>根据供应商对所有仪器设备维修及维护保养的方案和质量保证、数据安全保密措施进行评审：</w:t>
            </w:r>
          </w:p>
          <w:p>
            <w:pPr>
              <w:pStyle w:val="11"/>
              <w:ind w:firstLine="0" w:firstLineChars="0"/>
              <w:rPr>
                <w:rFonts w:hint="eastAsia" w:ascii="仿宋_GB2312" w:hAnsi="仿宋_GB2312" w:eastAsia="仿宋_GB2312" w:cs="仿宋_GB2312"/>
              </w:rPr>
            </w:pPr>
            <w:r>
              <w:rPr>
                <w:rFonts w:hint="eastAsia" w:ascii="仿宋_GB2312" w:hAnsi="仿宋_GB2312" w:eastAsia="仿宋_GB2312" w:cs="仿宋_GB2312"/>
              </w:rPr>
              <w:t>（1）具有完善的对营运的环境质量数据管理和数据安全保证能力，对所有仪器设备维修及维护保养的方案非常详细、清晰，质量保证和数据安全保密措施完整、高效，得10分；</w:t>
            </w:r>
          </w:p>
          <w:p>
            <w:pPr>
              <w:pStyle w:val="11"/>
              <w:ind w:firstLine="0" w:firstLineChars="0"/>
              <w:rPr>
                <w:rFonts w:hint="eastAsia" w:ascii="仿宋_GB2312" w:hAnsi="仿宋_GB2312" w:eastAsia="仿宋_GB2312" w:cs="仿宋_GB2312"/>
              </w:rPr>
            </w:pPr>
            <w:r>
              <w:rPr>
                <w:rFonts w:hint="eastAsia" w:ascii="仿宋_GB2312" w:hAnsi="仿宋_GB2312" w:eastAsia="仿宋_GB2312" w:cs="仿宋_GB2312"/>
              </w:rPr>
              <w:t>（2）具有对营运的环境质量数据管理和数据安全保证能力，对所有仪器设备维修及维护保养的方案较为详细、清晰，质量保证和数据安全保密措施基本完整，得6分；</w:t>
            </w:r>
          </w:p>
          <w:p>
            <w:pPr>
              <w:pStyle w:val="11"/>
              <w:ind w:firstLine="0" w:firstLineChars="0"/>
            </w:pPr>
            <w:r>
              <w:rPr>
                <w:rFonts w:hint="eastAsia" w:ascii="仿宋_GB2312" w:hAnsi="仿宋_GB2312" w:eastAsia="仿宋_GB2312" w:cs="仿宋_GB2312"/>
              </w:rPr>
              <w:t>（3）不具备对营运的环境质量数据管理和数据安全保证能力，对所有仪器设备维修及维护保养的方案不详细、不清晰，质量保证和数据安全保密措施不完整，得3分；</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10</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trPr>
        <w:tc>
          <w:tcPr>
            <w:tcW w:w="13851" w:type="dxa"/>
            <w:gridSpan w:val="8"/>
            <w:tcBorders>
              <w:top w:val="single" w:color="auto" w:sz="6" w:space="0"/>
              <w:bottom w:val="single" w:color="auto" w:sz="6" w:space="0"/>
            </w:tcBorders>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二、商务部分 （</w:t>
            </w:r>
            <w:r>
              <w:rPr>
                <w:rFonts w:ascii="仿宋_GB2312" w:hAnsi="仿宋_GB2312" w:eastAsia="仿宋_GB2312" w:cs="仿宋_GB2312"/>
                <w:b/>
                <w:kern w:val="0"/>
                <w:szCs w:val="21"/>
              </w:rPr>
              <w:t>5</w:t>
            </w:r>
            <w:r>
              <w:rPr>
                <w:rFonts w:hint="eastAsia" w:ascii="仿宋_GB2312" w:hAnsi="仿宋_GB2312" w:eastAsia="仿宋_GB2312" w:cs="仿宋_GB2312"/>
                <w:b/>
                <w:kern w:val="0"/>
                <w:szCs w:val="21"/>
              </w:rPr>
              <w:t>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673" w:type="dxa"/>
            <w:tcBorders>
              <w:top w:val="single" w:color="auto" w:sz="6" w:space="0"/>
              <w:bottom w:val="single" w:color="auto" w:sz="6" w:space="0"/>
              <w:right w:val="single" w:color="auto" w:sz="6" w:space="0"/>
            </w:tcBorders>
            <w:noWrap w:val="0"/>
            <w:vAlign w:val="center"/>
          </w:tcPr>
          <w:p>
            <w:pPr>
              <w:numPr>
                <w:ilvl w:val="0"/>
                <w:numId w:val="2"/>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业绩情况</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投标人提供自2021年至今的类似项目业绩，每提供1个得5分，本项满分15分。</w:t>
            </w:r>
          </w:p>
          <w:p>
            <w:pPr>
              <w:rPr>
                <w:rFonts w:hint="eastAsia" w:ascii="仿宋_GB2312" w:hAnsi="仿宋_GB2312" w:eastAsia="仿宋_GB2312" w:cs="仿宋_GB2312"/>
                <w:szCs w:val="21"/>
                <w:lang w:bidi="ar"/>
              </w:rPr>
            </w:pPr>
            <w:r>
              <w:rPr>
                <w:rFonts w:hint="eastAsia" w:ascii="仿宋_GB2312" w:hAnsi="仿宋_GB2312" w:eastAsia="仿宋_GB2312" w:cs="仿宋_GB2312"/>
                <w:szCs w:val="21"/>
              </w:rPr>
              <w:t>（需提供合同的复印件或扫描件，并加盖公章）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ind w:left="-63" w:leftChars="-30" w:right="-88" w:rightChars="-42"/>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73" w:type="dxa"/>
            <w:tcBorders>
              <w:top w:val="single" w:color="auto" w:sz="6" w:space="0"/>
              <w:bottom w:val="single" w:color="auto" w:sz="6" w:space="0"/>
              <w:right w:val="single" w:color="auto" w:sz="6" w:space="0"/>
            </w:tcBorders>
            <w:noWrap w:val="0"/>
            <w:vAlign w:val="center"/>
          </w:tcPr>
          <w:p>
            <w:pPr>
              <w:numPr>
                <w:ilvl w:val="0"/>
                <w:numId w:val="2"/>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投入本项目设备情况 </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投标人为本项目配备的SO2、NO2、CO、PM10、PM2.5、O3等监测项目和校准设备的备用机各至少3台，在仪表发生故障不能在短期内维修完毕时可直接使用备用机替代工作。每项监测项提供1台备机，得1分，最多得3分；6项监测项目总共最多得18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注：须提供备用分析仪表的清单（包括但不限于设备名称、型号、品牌）、仪器照片及购买或租赁合同（复印件加盖供应商公章，如为租赁，则租赁时间段要覆盖项目周期）、国家环境监测总站颁发的有效期内的适应性检测报告（复印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73" w:type="dxa"/>
            <w:tcBorders>
              <w:top w:val="single" w:color="auto" w:sz="6" w:space="0"/>
              <w:bottom w:val="single" w:color="auto" w:sz="6" w:space="0"/>
              <w:right w:val="single" w:color="auto" w:sz="6" w:space="0"/>
            </w:tcBorders>
            <w:noWrap w:val="0"/>
            <w:vAlign w:val="center"/>
          </w:tcPr>
          <w:p>
            <w:pPr>
              <w:numPr>
                <w:ilvl w:val="0"/>
                <w:numId w:val="2"/>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能力认证</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投标人具有环境管理体系认证证书、质量管理体系认证证书的</w:t>
            </w:r>
            <w:r>
              <w:rPr>
                <w:rFonts w:hint="eastAsia" w:ascii="仿宋_GB2312" w:hAnsi="仿宋_GB2312" w:eastAsia="仿宋_GB2312" w:cs="仿宋_GB2312"/>
                <w:szCs w:val="21"/>
                <w:lang w:eastAsia="zh-CN"/>
              </w:rPr>
              <w:t>每提供</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lang w:eastAsia="zh-CN"/>
              </w:rPr>
              <w:t>项得</w:t>
            </w:r>
            <w:r>
              <w:rPr>
                <w:rFonts w:hint="eastAsia" w:ascii="仿宋_GB2312" w:hAnsi="仿宋_GB2312" w:eastAsia="仿宋_GB2312" w:cs="仿宋_GB2312"/>
                <w:szCs w:val="21"/>
                <w:lang w:val="en-US" w:eastAsia="zh-CN"/>
              </w:rPr>
              <w:t>1.5分，最高得3分</w:t>
            </w:r>
            <w:r>
              <w:rPr>
                <w:rFonts w:hint="eastAsia" w:ascii="仿宋_GB2312" w:hAnsi="仿宋_GB2312" w:eastAsia="仿宋_GB2312" w:cs="仿宋_GB2312"/>
                <w:szCs w:val="21"/>
              </w:rPr>
              <w:t>。</w:t>
            </w:r>
          </w:p>
          <w:p>
            <w:pPr>
              <w:rPr>
                <w:rFonts w:hint="eastAsia" w:ascii="仿宋_GB2312" w:hAnsi="仿宋_GB2312" w:eastAsia="仿宋_GB2312" w:cs="仿宋_GB2312"/>
                <w:szCs w:val="21"/>
              </w:rPr>
            </w:pPr>
            <w:r>
              <w:rPr>
                <w:rFonts w:hint="eastAsia" w:ascii="仿宋_GB2312" w:hAnsi="仿宋_GB2312" w:eastAsia="仿宋_GB2312" w:cs="仿宋_GB2312"/>
                <w:szCs w:val="21"/>
              </w:rPr>
              <w:t>注：提供证书影印件或扫描件，不提供或不在有效期内的不得分。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ind w:left="-63" w:leftChars="-30" w:right="-88" w:rightChars="-42"/>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3" w:type="dxa"/>
            <w:tcBorders>
              <w:top w:val="single" w:color="auto" w:sz="6" w:space="0"/>
              <w:bottom w:val="single" w:color="auto" w:sz="6" w:space="0"/>
              <w:right w:val="single" w:color="auto" w:sz="6" w:space="0"/>
            </w:tcBorders>
            <w:noWrap w:val="0"/>
            <w:vAlign w:val="center"/>
          </w:tcPr>
          <w:p>
            <w:pPr>
              <w:numPr>
                <w:ilvl w:val="0"/>
                <w:numId w:val="2"/>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项目负责人实力</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项目负责人具有环保或相关专业高级或以上职称的得5分，具有环保或相关专业中级职称的得3分，具有环保或相关专业初级职称的得2分，其余不得分。</w:t>
            </w:r>
          </w:p>
          <w:p>
            <w:pPr>
              <w:widowControl/>
              <w:wordWrap w:val="0"/>
              <w:spacing w:line="30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ind w:left="-63" w:leftChars="-30" w:right="-88" w:rightChars="-42"/>
              <w:jc w:val="center"/>
              <w:rPr>
                <w:rFonts w:hint="eastAsia" w:ascii="仿宋_GB2312" w:hAnsi="仿宋_GB2312" w:eastAsia="仿宋_GB2312" w:cs="仿宋_GB2312"/>
                <w:kern w:val="0"/>
                <w:szCs w:val="21"/>
              </w:rPr>
            </w:pPr>
            <w:r>
              <w:rPr>
                <w:rFonts w:hint="eastAsia" w:ascii="仿宋_GB2312" w:hAnsi="仿宋_GB2312" w:eastAsia="仿宋_GB2312" w:cs="仿宋_GB2312"/>
                <w:bCs/>
                <w:kern w:val="0"/>
                <w:szCs w:val="21"/>
              </w:rPr>
              <w:t>5</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8" w:hRule="atLeast"/>
        </w:trPr>
        <w:tc>
          <w:tcPr>
            <w:tcW w:w="673" w:type="dxa"/>
            <w:tcBorders>
              <w:top w:val="single" w:color="auto" w:sz="6" w:space="0"/>
              <w:bottom w:val="single" w:color="auto" w:sz="6" w:space="0"/>
              <w:right w:val="single" w:color="auto" w:sz="6" w:space="0"/>
            </w:tcBorders>
            <w:noWrap w:val="0"/>
            <w:vAlign w:val="center"/>
          </w:tcPr>
          <w:p>
            <w:pPr>
              <w:numPr>
                <w:ilvl w:val="0"/>
                <w:numId w:val="2"/>
              </w:numPr>
              <w:autoSpaceDE w:val="0"/>
              <w:autoSpaceDN w:val="0"/>
              <w:adjustRightInd w:val="0"/>
              <w:snapToGrid w:val="0"/>
              <w:spacing w:line="200" w:lineRule="exact"/>
              <w:jc w:val="center"/>
              <w:rPr>
                <w:rFonts w:hint="eastAsia" w:ascii="仿宋_GB2312" w:hAnsi="仿宋_GB2312" w:eastAsia="仿宋_GB2312" w:cs="仿宋_GB2312"/>
                <w:bCs/>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技术人员能力</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项目服务人员具有中国环境监测总站颁发的环境空气自动监测运维与质控培训班培训合格证书的，每提供1人得3分，满分9分；</w:t>
            </w:r>
          </w:p>
          <w:p>
            <w:pPr>
              <w:rPr>
                <w:rFonts w:hint="eastAsia" w:ascii="仿宋_GB2312" w:hAnsi="仿宋_GB2312" w:eastAsia="仿宋_GB2312" w:cs="仿宋_GB2312"/>
                <w:szCs w:val="21"/>
              </w:rPr>
            </w:pPr>
            <w:r>
              <w:rPr>
                <w:rFonts w:hint="eastAsia" w:ascii="仿宋_GB2312" w:hAnsi="仿宋_GB2312" w:eastAsia="仿宋_GB2312" w:cs="仿宋_GB2312"/>
                <w:szCs w:val="21"/>
              </w:rPr>
              <w:t>注：须提供上述人员相关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bookmarkStart w:id="0" w:name="_GoBack"/>
            <w:bookmarkEnd w:id="0"/>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ind w:left="-63" w:leftChars="-30" w:right="-88" w:rightChars="-42"/>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9</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851" w:type="dxa"/>
            <w:gridSpan w:val="8"/>
            <w:tcBorders>
              <w:top w:val="single" w:color="auto" w:sz="6" w:space="0"/>
              <w:bottom w:val="single" w:color="auto" w:sz="6" w:space="0"/>
            </w:tcBorders>
            <w:noWrap w:val="0"/>
            <w:vAlign w:val="center"/>
          </w:tcPr>
          <w:p>
            <w:pPr>
              <w:autoSpaceDE w:val="0"/>
              <w:autoSpaceDN w:val="0"/>
              <w:adjustRightInd w:val="0"/>
              <w:snapToGrid w:val="0"/>
              <w:spacing w:line="200" w:lineRule="exact"/>
              <w:ind w:left="-78" w:leftChars="-37" w:right="-73" w:rightChars="-35"/>
              <w:jc w:val="left"/>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三、价格部分（20分）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3" w:type="dxa"/>
            <w:tcBorders>
              <w:top w:val="single" w:color="auto" w:sz="6" w:space="0"/>
              <w:bottom w:val="single" w:color="auto" w:sz="6" w:space="0"/>
              <w:right w:val="single" w:color="auto" w:sz="6" w:space="0"/>
            </w:tcBorders>
            <w:noWrap w:val="0"/>
            <w:vAlign w:val="center"/>
          </w:tcPr>
          <w:p>
            <w:pPr>
              <w:numPr>
                <w:ilvl w:val="0"/>
                <w:numId w:val="3"/>
              </w:numPr>
              <w:autoSpaceDE w:val="0"/>
              <w:autoSpaceDN w:val="0"/>
              <w:adjustRightInd w:val="0"/>
              <w:snapToGrid w:val="0"/>
              <w:spacing w:line="200" w:lineRule="exact"/>
              <w:jc w:val="center"/>
              <w:rPr>
                <w:rFonts w:hint="eastAsia" w:ascii="仿宋_GB2312" w:hAnsi="仿宋_GB2312" w:eastAsia="仿宋_GB2312" w:cs="仿宋_GB2312"/>
                <w:kern w:val="0"/>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价格得分</w:t>
            </w:r>
          </w:p>
        </w:tc>
        <w:tc>
          <w:tcPr>
            <w:tcW w:w="78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价格分应当采用低价优先法计算，即满足采购需求且报价最低的为基准价，该项价格得分为满分。其他供应商的价格得分统一按照下列公式计算： 供应商价格得分=(基准价／报价)×</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，价格得分四舍五入后保留小数点后两位有效数。</w:t>
            </w:r>
            <w:r>
              <w:rPr>
                <w:rFonts w:hint="eastAsia" w:ascii="仿宋_GB2312" w:hAnsi="仿宋_GB2312" w:eastAsia="仿宋_GB2312" w:cs="仿宋_GB2312"/>
                <w:b/>
                <w:szCs w:val="21"/>
              </w:rPr>
              <w:t>（对符合规定的小型和微型企业（监狱企业、残疾人福利单位视同小型、微型企业）报价给予10%的价格扣除。）</w:t>
            </w:r>
          </w:p>
        </w:tc>
        <w:tc>
          <w:tcPr>
            <w:tcW w:w="7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c>
          <w:tcPr>
            <w:tcW w:w="912" w:type="dxa"/>
            <w:tcBorders>
              <w:top w:val="single" w:color="auto" w:sz="6" w:space="0"/>
              <w:left w:val="single" w:color="auto" w:sz="6" w:space="0"/>
              <w:bottom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498" w:type="dxa"/>
            <w:gridSpan w:val="3"/>
            <w:tcBorders>
              <w:top w:val="single" w:color="auto" w:sz="6" w:space="0"/>
              <w:right w:val="single" w:color="auto" w:sz="6" w:space="0"/>
            </w:tcBorders>
            <w:noWrap w:val="0"/>
            <w:vAlign w:val="center"/>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合计</w:t>
            </w:r>
          </w:p>
        </w:tc>
        <w:tc>
          <w:tcPr>
            <w:tcW w:w="706" w:type="dxa"/>
            <w:tcBorders>
              <w:top w:val="single" w:color="auto" w:sz="6" w:space="0"/>
              <w:left w:val="single" w:color="auto" w:sz="6" w:space="0"/>
              <w:right w:val="single" w:color="auto" w:sz="6" w:space="0"/>
            </w:tcBorders>
            <w:noWrap w:val="0"/>
            <w:vAlign w:val="center"/>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100 </w:t>
            </w:r>
          </w:p>
        </w:tc>
        <w:tc>
          <w:tcPr>
            <w:tcW w:w="911" w:type="dxa"/>
            <w:tcBorders>
              <w:top w:val="single" w:color="auto" w:sz="6" w:space="0"/>
              <w:left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p>
        </w:tc>
        <w:tc>
          <w:tcPr>
            <w:tcW w:w="912" w:type="dxa"/>
            <w:tcBorders>
              <w:top w:val="single" w:color="auto" w:sz="6" w:space="0"/>
              <w:left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p>
        </w:tc>
        <w:tc>
          <w:tcPr>
            <w:tcW w:w="912" w:type="dxa"/>
            <w:tcBorders>
              <w:top w:val="single" w:color="auto" w:sz="6" w:space="0"/>
              <w:left w:val="single" w:color="auto" w:sz="6" w:space="0"/>
              <w:righ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p>
        </w:tc>
        <w:tc>
          <w:tcPr>
            <w:tcW w:w="912" w:type="dxa"/>
            <w:tcBorders>
              <w:top w:val="single" w:color="auto" w:sz="6" w:space="0"/>
              <w:left w:val="single" w:color="auto" w:sz="6" w:space="0"/>
            </w:tcBorders>
            <w:noWrap w:val="0"/>
            <w:vAlign w:val="top"/>
          </w:tcPr>
          <w:p>
            <w:pPr>
              <w:autoSpaceDE w:val="0"/>
              <w:autoSpaceDN w:val="0"/>
              <w:adjustRightInd w:val="0"/>
              <w:snapToGrid w:val="0"/>
              <w:spacing w:line="200" w:lineRule="exact"/>
              <w:ind w:left="-78" w:leftChars="-37" w:right="-73" w:rightChars="-35"/>
              <w:jc w:val="center"/>
              <w:rPr>
                <w:rFonts w:hint="eastAsia" w:ascii="仿宋_GB2312" w:hAnsi="仿宋_GB2312" w:eastAsia="仿宋_GB2312" w:cs="仿宋_GB2312"/>
                <w:b/>
                <w:kern w:val="0"/>
                <w:szCs w:val="21"/>
              </w:rPr>
            </w:pPr>
          </w:p>
        </w:tc>
      </w:tr>
    </w:tbl>
    <w:p>
      <w:pPr>
        <w:pStyle w:val="39"/>
        <w:ind w:firstLine="0" w:firstLineChars="0"/>
        <w:jc w:val="center"/>
        <w:rPr>
          <w:rFonts w:hint="eastAsia" w:ascii="Times New Roman" w:hAnsi="Times New Roman" w:eastAsia="方正小标宋_GBK"/>
          <w:bCs/>
          <w:kern w:val="2"/>
          <w:sz w:val="36"/>
          <w:szCs w:val="36"/>
          <w:lang w:val="en-US"/>
        </w:rPr>
      </w:pPr>
    </w:p>
    <w:p>
      <w:pPr>
        <w:pStyle w:val="39"/>
        <w:ind w:firstLine="0" w:firstLineChars="0"/>
        <w:jc w:val="center"/>
        <w:rPr>
          <w:rFonts w:hint="eastAsia" w:ascii="Times New Roman" w:hAnsi="Times New Roman" w:eastAsia="方正小标宋_GBK"/>
          <w:bCs/>
          <w:kern w:val="2"/>
          <w:sz w:val="36"/>
          <w:szCs w:val="36"/>
          <w:lang w:val="en-US"/>
        </w:rPr>
      </w:pPr>
    </w:p>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29FA"/>
    <w:multiLevelType w:val="multilevel"/>
    <w:tmpl w:val="166729FA"/>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51BED"/>
    <w:multiLevelType w:val="multilevel"/>
    <w:tmpl w:val="43751BED"/>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69"/>
    <w:rsid w:val="001576C1"/>
    <w:rsid w:val="002810C4"/>
    <w:rsid w:val="00355594"/>
    <w:rsid w:val="00377D98"/>
    <w:rsid w:val="003A2B72"/>
    <w:rsid w:val="003C5F69"/>
    <w:rsid w:val="003F6E9A"/>
    <w:rsid w:val="00406898"/>
    <w:rsid w:val="0058667C"/>
    <w:rsid w:val="006C3010"/>
    <w:rsid w:val="006C3A56"/>
    <w:rsid w:val="006C67FD"/>
    <w:rsid w:val="007401AE"/>
    <w:rsid w:val="00803C45"/>
    <w:rsid w:val="00AD238A"/>
    <w:rsid w:val="00AF49A4"/>
    <w:rsid w:val="00C04489"/>
    <w:rsid w:val="00C22C24"/>
    <w:rsid w:val="00E8558E"/>
    <w:rsid w:val="00EF4F44"/>
    <w:rsid w:val="00F40193"/>
    <w:rsid w:val="00F718A6"/>
    <w:rsid w:val="1E5EDB54"/>
    <w:rsid w:val="67D7E244"/>
    <w:rsid w:val="7ED71D21"/>
    <w:rsid w:val="BDED7412"/>
    <w:rsid w:val="DD3788FF"/>
    <w:rsid w:val="EEDDF1E0"/>
    <w:rsid w:val="F3DF86DE"/>
    <w:rsid w:val="FFFE8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firstLineChars="200"/>
    </w:pPr>
  </w:style>
  <w:style w:type="paragraph" w:styleId="12">
    <w:name w:val="footer"/>
    <w:basedOn w:val="1"/>
    <w:link w:val="37"/>
    <w:unhideWhenUsed/>
    <w:qFormat/>
    <w:uiPriority w:val="99"/>
    <w:pPr>
      <w:tabs>
        <w:tab w:val="center" w:pos="4153"/>
        <w:tab w:val="right" w:pos="8306"/>
      </w:tabs>
      <w:snapToGrid w:val="0"/>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Revision"/>
    <w:hidden/>
    <w:semiHidden/>
    <w:qFormat/>
    <w:uiPriority w:val="99"/>
    <w:pPr>
      <w:spacing w:after="0" w:line="240" w:lineRule="auto"/>
    </w:pPr>
    <w:rPr>
      <w:rFonts w:ascii="Calibri" w:hAnsi="Calibri" w:eastAsia="宋体" w:cs="Times New Roman"/>
      <w:kern w:val="2"/>
      <w:sz w:val="21"/>
      <w:szCs w:val="22"/>
      <w:lang w:val="en-US" w:eastAsia="zh-CN" w:bidi="ar-SA"/>
      <w14:ligatures w14:val="none"/>
    </w:rPr>
  </w:style>
  <w:style w:type="paragraph" w:customStyle="1" w:styleId="39">
    <w:name w:val="正文格式"/>
    <w:basedOn w:val="1"/>
    <w:qFormat/>
    <w:uiPriority w:val="0"/>
    <w:pPr>
      <w:spacing w:line="360" w:lineRule="auto"/>
      <w:ind w:firstLine="200" w:firstLineChars="200"/>
    </w:pPr>
    <w:rPr>
      <w:rFonts w:ascii="宋体" w:hAnsi="宋体"/>
      <w:kern w:val="0"/>
      <w:sz w:val="2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923</Words>
  <Characters>943</Characters>
  <Lines>78</Lines>
  <Paragraphs>69</Paragraphs>
  <TotalTime>1</TotalTime>
  <ScaleCrop>false</ScaleCrop>
  <LinksUpToDate>false</LinksUpToDate>
  <CharactersWithSpaces>1797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2025-05-08T02:13:00Z</dcterms:created>
  <dc:creator>亮 陈</dc:creator>
  <cp:lastModifiedBy>greatwall</cp:lastModifiedBy>
  <cp:lastPrinted>2025-05-29T22:31:00Z</cp:lastPrinted>
  <dcterms:modified xsi:type="dcterms:W3CDTF">2025-05-29T14:41:10Z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B78196C476D276CDBD83196854998B83</vt:lpwstr>
  </property>
</Properties>
</file>