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D39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default"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sz w:val="32"/>
          <w:szCs w:val="32"/>
        </w:rPr>
        <w:t>附件</w:t>
      </w:r>
      <w:r>
        <w:rPr>
          <w:rFonts w:hint="eastAsia" w:ascii="仿宋_GB2312" w:hAnsi="仿宋_GB2312" w:eastAsia="仿宋_GB2312" w:cs="仿宋_GB2312"/>
          <w:b/>
          <w:bCs/>
          <w:kern w:val="2"/>
          <w:sz w:val="32"/>
          <w:szCs w:val="32"/>
          <w:lang w:val="en-US" w:eastAsia="zh-CN" w:bidi="ar-SA"/>
        </w:rPr>
        <w:t>2</w:t>
      </w:r>
    </w:p>
    <w:p w14:paraId="0DE781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center"/>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恩平市2025年土壤污染重点监管单位周边土壤监测项目</w:t>
      </w:r>
    </w:p>
    <w:p w14:paraId="38D804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评分表</w:t>
      </w:r>
    </w:p>
    <w:tbl>
      <w:tblPr>
        <w:tblStyle w:val="8"/>
        <w:tblW w:w="9181" w:type="dxa"/>
        <w:tblInd w:w="-3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57"/>
        <w:gridCol w:w="1704"/>
        <w:gridCol w:w="6220"/>
      </w:tblGrid>
      <w:tr w14:paraId="3CA8C9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961" w:type="dxa"/>
            <w:gridSpan w:val="2"/>
          </w:tcPr>
          <w:p w14:paraId="056AD484">
            <w:pPr>
              <w:pStyle w:val="7"/>
              <w:spacing w:before="61" w:line="219" w:lineRule="auto"/>
              <w:ind w:left="718"/>
              <w:rPr>
                <w:sz w:val="23"/>
                <w:szCs w:val="23"/>
              </w:rPr>
            </w:pPr>
            <w:r>
              <w:rPr>
                <w:b/>
                <w:bCs/>
                <w:spacing w:val="-4"/>
                <w:sz w:val="23"/>
                <w:szCs w:val="23"/>
              </w:rPr>
              <w:t>评审内容</w:t>
            </w:r>
          </w:p>
        </w:tc>
        <w:tc>
          <w:tcPr>
            <w:tcW w:w="6220" w:type="dxa"/>
          </w:tcPr>
          <w:p w14:paraId="70D9A9DF">
            <w:pPr>
              <w:pStyle w:val="7"/>
              <w:spacing w:before="61" w:line="220" w:lineRule="auto"/>
              <w:ind w:left="2366"/>
              <w:rPr>
                <w:sz w:val="23"/>
                <w:szCs w:val="23"/>
              </w:rPr>
            </w:pPr>
            <w:r>
              <w:rPr>
                <w:b/>
                <w:bCs/>
                <w:spacing w:val="1"/>
                <w:sz w:val="23"/>
                <w:szCs w:val="23"/>
              </w:rPr>
              <w:t>评审准则</w:t>
            </w:r>
          </w:p>
        </w:tc>
      </w:tr>
      <w:tr w14:paraId="67179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1" w:hRule="atLeast"/>
        </w:trPr>
        <w:tc>
          <w:tcPr>
            <w:tcW w:w="1257" w:type="dxa"/>
            <w:vMerge w:val="restart"/>
            <w:vAlign w:val="center"/>
          </w:tcPr>
          <w:p w14:paraId="188FC2A8">
            <w:pPr>
              <w:jc w:val="center"/>
              <w:rPr>
                <w:rFonts w:hint="eastAsia" w:ascii="仿宋_GB2312" w:hAnsi="仿宋_GB2312" w:eastAsia="仿宋_GB2312" w:cs="仿宋_GB2312"/>
                <w:sz w:val="21"/>
                <w:szCs w:val="21"/>
              </w:rPr>
            </w:pPr>
          </w:p>
          <w:p w14:paraId="0160E5E5">
            <w:pPr>
              <w:pStyle w:val="7"/>
              <w:jc w:val="center"/>
              <w:rPr>
                <w:rFonts w:hint="eastAsia" w:ascii="仿宋_GB2312" w:hAnsi="仿宋_GB2312" w:eastAsia="仿宋_GB2312" w:cs="仿宋_GB2312"/>
                <w:spacing w:val="5"/>
                <w:sz w:val="21"/>
                <w:szCs w:val="21"/>
                <w:lang w:eastAsia="zh-CN"/>
              </w:rPr>
            </w:pPr>
            <w:r>
              <w:rPr>
                <w:rFonts w:hint="eastAsia" w:ascii="仿宋_GB2312" w:hAnsi="仿宋_GB2312" w:eastAsia="仿宋_GB2312" w:cs="仿宋_GB2312"/>
                <w:spacing w:val="5"/>
                <w:sz w:val="21"/>
                <w:szCs w:val="21"/>
              </w:rPr>
              <w:t>技术</w:t>
            </w:r>
            <w:r>
              <w:rPr>
                <w:rFonts w:hint="eastAsia" w:ascii="仿宋_GB2312" w:hAnsi="仿宋_GB2312" w:eastAsia="仿宋_GB2312" w:cs="仿宋_GB2312"/>
                <w:spacing w:val="5"/>
                <w:sz w:val="21"/>
                <w:szCs w:val="21"/>
                <w:lang w:eastAsia="zh-CN"/>
              </w:rPr>
              <w:t>部分</w:t>
            </w:r>
          </w:p>
          <w:p w14:paraId="589C9C16">
            <w:pPr>
              <w:pStyle w:val="7"/>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10"/>
                <w:kern w:val="2"/>
                <w:sz w:val="21"/>
                <w:szCs w:val="21"/>
                <w:lang w:val="en-US" w:eastAsia="zh-CN" w:bidi="ar-SA"/>
              </w:rPr>
              <w:t>（60分）</w:t>
            </w:r>
          </w:p>
        </w:tc>
        <w:tc>
          <w:tcPr>
            <w:tcW w:w="1704" w:type="dxa"/>
            <w:tcBorders>
              <w:bottom w:val="single" w:color="auto" w:sz="4" w:space="0"/>
            </w:tcBorders>
            <w:vAlign w:val="center"/>
          </w:tcPr>
          <w:p w14:paraId="32EBB11C">
            <w:pPr>
              <w:pStyle w:val="7"/>
              <w:spacing w:line="220" w:lineRule="auto"/>
              <w:jc w:val="center"/>
              <w:rPr>
                <w:rFonts w:hint="eastAsia" w:ascii="仿宋_GB2312" w:hAnsi="仿宋_GB2312" w:eastAsia="仿宋_GB2312" w:cs="仿宋_GB2312"/>
                <w:spacing w:val="10"/>
                <w:sz w:val="21"/>
                <w:szCs w:val="21"/>
                <w:lang w:eastAsia="zh-CN"/>
              </w:rPr>
            </w:pPr>
            <w:r>
              <w:rPr>
                <w:rFonts w:hint="eastAsia" w:ascii="仿宋_GB2312" w:hAnsi="仿宋_GB2312" w:eastAsia="仿宋_GB2312" w:cs="仿宋_GB2312"/>
                <w:spacing w:val="10"/>
                <w:sz w:val="21"/>
                <w:szCs w:val="21"/>
                <w:lang w:eastAsia="zh-CN"/>
              </w:rPr>
              <w:t>实施方案</w:t>
            </w:r>
          </w:p>
          <w:p w14:paraId="47945188">
            <w:pPr>
              <w:pStyle w:val="7"/>
              <w:spacing w:line="22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10"/>
                <w:kern w:val="2"/>
                <w:sz w:val="21"/>
                <w:szCs w:val="21"/>
                <w:lang w:val="en-US" w:eastAsia="zh-CN" w:bidi="ar-SA"/>
              </w:rPr>
              <w:t>（30分）</w:t>
            </w:r>
          </w:p>
        </w:tc>
        <w:tc>
          <w:tcPr>
            <w:tcW w:w="6220" w:type="dxa"/>
          </w:tcPr>
          <w:p w14:paraId="5485C8C0">
            <w:pPr>
              <w:pStyle w:val="7"/>
              <w:ind w:left="105" w:leftChars="50"/>
              <w:rPr>
                <w:rFonts w:hint="eastAsia" w:ascii="仿宋_GB2312" w:hAnsi="仿宋_GB2312" w:eastAsia="仿宋_GB2312" w:cs="仿宋_GB2312"/>
                <w:spacing w:val="6"/>
                <w:sz w:val="21"/>
                <w:szCs w:val="21"/>
                <w:lang w:eastAsia="zh-CN"/>
              </w:rPr>
            </w:pPr>
            <w:r>
              <w:rPr>
                <w:rFonts w:hint="eastAsia" w:ascii="仿宋_GB2312" w:hAnsi="仿宋_GB2312" w:eastAsia="仿宋_GB2312" w:cs="仿宋_GB2312"/>
                <w:spacing w:val="6"/>
                <w:sz w:val="21"/>
                <w:szCs w:val="21"/>
                <w:lang w:eastAsia="zh-CN"/>
              </w:rPr>
              <w:t>根据供应商针对本项目的实施方案进行评审：</w:t>
            </w:r>
          </w:p>
          <w:p w14:paraId="70144210">
            <w:pPr>
              <w:pStyle w:val="7"/>
              <w:ind w:left="105" w:leftChars="50"/>
              <w:rPr>
                <w:rFonts w:hint="eastAsia" w:ascii="仿宋_GB2312" w:hAnsi="仿宋_GB2312" w:eastAsia="仿宋_GB2312" w:cs="仿宋_GB2312"/>
                <w:spacing w:val="6"/>
                <w:sz w:val="21"/>
                <w:szCs w:val="21"/>
                <w:lang w:eastAsia="zh-CN"/>
              </w:rPr>
            </w:pPr>
            <w:r>
              <w:rPr>
                <w:rFonts w:hint="eastAsia" w:ascii="仿宋_GB2312" w:hAnsi="仿宋_GB2312" w:eastAsia="仿宋_GB2312" w:cs="仿宋_GB2312"/>
                <w:spacing w:val="6"/>
                <w:sz w:val="21"/>
                <w:szCs w:val="21"/>
                <w:lang w:eastAsia="zh-CN"/>
              </w:rPr>
              <w:t>1.对项目背景、工作目标及工作内容的理解和认识准确、深入，项目实施方案完整详细、科学合理、可行性强，有针对性，响应情况满足或优于采购文件要求的，得</w:t>
            </w:r>
            <w:r>
              <w:rPr>
                <w:rFonts w:hint="eastAsia" w:ascii="仿宋_GB2312" w:hAnsi="仿宋_GB2312" w:eastAsia="仿宋_GB2312" w:cs="仿宋_GB2312"/>
                <w:spacing w:val="6"/>
                <w:sz w:val="21"/>
                <w:szCs w:val="21"/>
                <w:lang w:val="en-US" w:eastAsia="zh-CN"/>
              </w:rPr>
              <w:t>30</w:t>
            </w:r>
            <w:r>
              <w:rPr>
                <w:rFonts w:hint="eastAsia" w:ascii="仿宋_GB2312" w:hAnsi="仿宋_GB2312" w:eastAsia="仿宋_GB2312" w:cs="仿宋_GB2312"/>
                <w:spacing w:val="6"/>
                <w:sz w:val="21"/>
                <w:szCs w:val="21"/>
                <w:lang w:eastAsia="zh-CN"/>
              </w:rPr>
              <w:t>分；</w:t>
            </w:r>
          </w:p>
          <w:p w14:paraId="192CC1CB">
            <w:pPr>
              <w:pStyle w:val="7"/>
              <w:ind w:left="105" w:leftChars="50"/>
              <w:rPr>
                <w:rFonts w:hint="eastAsia" w:ascii="仿宋_GB2312" w:hAnsi="仿宋_GB2312" w:eastAsia="仿宋_GB2312" w:cs="仿宋_GB2312"/>
                <w:spacing w:val="6"/>
                <w:sz w:val="21"/>
                <w:szCs w:val="21"/>
                <w:lang w:eastAsia="zh-CN"/>
              </w:rPr>
            </w:pPr>
            <w:r>
              <w:rPr>
                <w:rFonts w:hint="eastAsia" w:ascii="仿宋_GB2312" w:hAnsi="仿宋_GB2312" w:eastAsia="仿宋_GB2312" w:cs="仿宋_GB2312"/>
                <w:spacing w:val="6"/>
                <w:sz w:val="21"/>
                <w:szCs w:val="21"/>
                <w:lang w:eastAsia="zh-CN"/>
              </w:rPr>
              <w:t>2.对项目背景、工作目标及工作内容的理解和认识准确，项目实施方案详细、合理、具有一定的可行性，响应情况大部分能满足采购文件要求的，得</w:t>
            </w:r>
            <w:r>
              <w:rPr>
                <w:rFonts w:hint="eastAsia" w:ascii="仿宋_GB2312" w:hAnsi="仿宋_GB2312" w:eastAsia="仿宋_GB2312" w:cs="仿宋_GB2312"/>
                <w:spacing w:val="6"/>
                <w:sz w:val="21"/>
                <w:szCs w:val="21"/>
                <w:lang w:val="en-US" w:eastAsia="zh-CN"/>
              </w:rPr>
              <w:t>25</w:t>
            </w:r>
            <w:r>
              <w:rPr>
                <w:rFonts w:hint="eastAsia" w:ascii="仿宋_GB2312" w:hAnsi="仿宋_GB2312" w:eastAsia="仿宋_GB2312" w:cs="仿宋_GB2312"/>
                <w:spacing w:val="6"/>
                <w:sz w:val="21"/>
                <w:szCs w:val="21"/>
                <w:lang w:eastAsia="zh-CN"/>
              </w:rPr>
              <w:t>分；</w:t>
            </w:r>
          </w:p>
          <w:p w14:paraId="1B178906">
            <w:pPr>
              <w:pStyle w:val="7"/>
              <w:ind w:left="105" w:leftChars="50"/>
              <w:rPr>
                <w:rFonts w:hint="eastAsia" w:ascii="仿宋_GB2312" w:hAnsi="仿宋_GB2312" w:eastAsia="仿宋_GB2312" w:cs="仿宋_GB2312"/>
                <w:spacing w:val="6"/>
                <w:sz w:val="21"/>
                <w:szCs w:val="21"/>
                <w:lang w:eastAsia="zh-CN"/>
              </w:rPr>
            </w:pPr>
            <w:r>
              <w:rPr>
                <w:rFonts w:hint="eastAsia" w:ascii="仿宋_GB2312" w:hAnsi="仿宋_GB2312" w:eastAsia="仿宋_GB2312" w:cs="仿宋_GB2312"/>
                <w:spacing w:val="6"/>
                <w:sz w:val="21"/>
                <w:szCs w:val="21"/>
                <w:lang w:eastAsia="zh-CN"/>
              </w:rPr>
              <w:t>3.基本理解和认识项目背景、工作目标及工作内容，项目实施方案完整、但可行性不足，响应情况部分能满足采购文件要求，得</w:t>
            </w:r>
            <w:r>
              <w:rPr>
                <w:rFonts w:hint="eastAsia" w:ascii="仿宋_GB2312" w:hAnsi="仿宋_GB2312" w:eastAsia="仿宋_GB2312" w:cs="仿宋_GB2312"/>
                <w:spacing w:val="6"/>
                <w:sz w:val="21"/>
                <w:szCs w:val="21"/>
                <w:lang w:val="en-US" w:eastAsia="zh-CN"/>
              </w:rPr>
              <w:t>20</w:t>
            </w:r>
            <w:r>
              <w:rPr>
                <w:rFonts w:hint="eastAsia" w:ascii="仿宋_GB2312" w:hAnsi="仿宋_GB2312" w:eastAsia="仿宋_GB2312" w:cs="仿宋_GB2312"/>
                <w:spacing w:val="6"/>
                <w:sz w:val="21"/>
                <w:szCs w:val="21"/>
                <w:lang w:eastAsia="zh-CN"/>
              </w:rPr>
              <w:t>分；</w:t>
            </w:r>
          </w:p>
          <w:p w14:paraId="3D859EA0">
            <w:pPr>
              <w:pStyle w:val="7"/>
              <w:ind w:left="105" w:leftChars="50"/>
              <w:rPr>
                <w:rFonts w:hint="eastAsia" w:ascii="仿宋_GB2312" w:hAnsi="仿宋_GB2312" w:eastAsia="仿宋_GB2312" w:cs="仿宋_GB2312"/>
                <w:spacing w:val="6"/>
                <w:sz w:val="21"/>
                <w:szCs w:val="21"/>
                <w:lang w:eastAsia="zh-CN"/>
              </w:rPr>
            </w:pPr>
            <w:r>
              <w:rPr>
                <w:rFonts w:hint="eastAsia" w:ascii="仿宋_GB2312" w:hAnsi="仿宋_GB2312" w:eastAsia="仿宋_GB2312" w:cs="仿宋_GB2312"/>
                <w:spacing w:val="6"/>
                <w:sz w:val="21"/>
                <w:szCs w:val="21"/>
                <w:lang w:eastAsia="zh-CN"/>
              </w:rPr>
              <w:t>4.未能全面理解和认识项目背景、工作目标及工作内容，项目实施方案不详细，响应情况不能满足采购文件要求，得</w:t>
            </w:r>
            <w:r>
              <w:rPr>
                <w:rFonts w:hint="eastAsia" w:ascii="仿宋_GB2312" w:hAnsi="仿宋_GB2312" w:eastAsia="仿宋_GB2312" w:cs="仿宋_GB2312"/>
                <w:spacing w:val="6"/>
                <w:sz w:val="21"/>
                <w:szCs w:val="21"/>
                <w:lang w:val="en-US" w:eastAsia="zh-CN"/>
              </w:rPr>
              <w:t>10</w:t>
            </w:r>
            <w:r>
              <w:rPr>
                <w:rFonts w:hint="eastAsia" w:ascii="仿宋_GB2312" w:hAnsi="仿宋_GB2312" w:eastAsia="仿宋_GB2312" w:cs="仿宋_GB2312"/>
                <w:spacing w:val="6"/>
                <w:sz w:val="21"/>
                <w:szCs w:val="21"/>
                <w:lang w:eastAsia="zh-CN"/>
              </w:rPr>
              <w:t>分；</w:t>
            </w:r>
          </w:p>
          <w:p w14:paraId="271D1BC5">
            <w:pPr>
              <w:pStyle w:val="7"/>
              <w:ind w:left="105" w:leftChars="50"/>
              <w:rPr>
                <w:rFonts w:hint="eastAsia" w:ascii="仿宋_GB2312" w:hAnsi="仿宋_GB2312" w:eastAsia="仿宋_GB2312" w:cs="仿宋_GB2312"/>
                <w:sz w:val="21"/>
                <w:szCs w:val="21"/>
                <w:lang w:eastAsia="zh-CN"/>
              </w:rPr>
            </w:pPr>
            <w:r>
              <w:rPr>
                <w:rFonts w:hint="eastAsia" w:ascii="仿宋_GB2312" w:hAnsi="仿宋_GB2312" w:eastAsia="仿宋_GB2312" w:cs="仿宋_GB2312"/>
                <w:spacing w:val="6"/>
                <w:sz w:val="21"/>
                <w:szCs w:val="21"/>
                <w:lang w:eastAsia="zh-CN"/>
              </w:rPr>
              <w:t>5.未提交响应内容或其他情况，不得分。</w:t>
            </w:r>
          </w:p>
        </w:tc>
      </w:tr>
      <w:tr w14:paraId="2F4CA4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1" w:hRule="atLeast"/>
        </w:trPr>
        <w:tc>
          <w:tcPr>
            <w:tcW w:w="1257" w:type="dxa"/>
            <w:vMerge w:val="continue"/>
            <w:vAlign w:val="center"/>
          </w:tcPr>
          <w:p w14:paraId="262848F9">
            <w:pPr>
              <w:pStyle w:val="7"/>
              <w:jc w:val="center"/>
              <w:rPr>
                <w:rFonts w:hint="eastAsia" w:ascii="仿宋_GB2312" w:hAnsi="仿宋_GB2312" w:eastAsia="仿宋_GB2312" w:cs="仿宋_GB2312"/>
                <w:sz w:val="21"/>
                <w:szCs w:val="21"/>
              </w:rPr>
            </w:pPr>
          </w:p>
        </w:tc>
        <w:tc>
          <w:tcPr>
            <w:tcW w:w="1704" w:type="dxa"/>
            <w:tcBorders>
              <w:top w:val="single" w:color="auto" w:sz="4" w:space="0"/>
            </w:tcBorders>
            <w:vAlign w:val="center"/>
          </w:tcPr>
          <w:p w14:paraId="02CBDFD2">
            <w:pPr>
              <w:pStyle w:val="7"/>
              <w:spacing w:line="22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10"/>
                <w:sz w:val="21"/>
                <w:szCs w:val="21"/>
              </w:rPr>
              <w:t>质量保证措施</w:t>
            </w:r>
            <w:r>
              <w:rPr>
                <w:rFonts w:hint="eastAsia" w:ascii="仿宋_GB2312" w:hAnsi="仿宋_GB2312" w:eastAsia="仿宋_GB2312" w:cs="仿宋_GB2312"/>
                <w:spacing w:val="10"/>
                <w:kern w:val="2"/>
                <w:sz w:val="21"/>
                <w:szCs w:val="21"/>
                <w:lang w:val="en-US" w:eastAsia="zh-CN" w:bidi="ar-SA"/>
              </w:rPr>
              <w:t>（30分）</w:t>
            </w:r>
          </w:p>
        </w:tc>
        <w:tc>
          <w:tcPr>
            <w:tcW w:w="6220" w:type="dxa"/>
          </w:tcPr>
          <w:p w14:paraId="6C0656E6">
            <w:pPr>
              <w:pStyle w:val="7"/>
              <w:ind w:left="105" w:leftChars="50"/>
              <w:rPr>
                <w:rFonts w:hint="eastAsia" w:ascii="仿宋_GB2312" w:hAnsi="仿宋_GB2312" w:eastAsia="仿宋_GB2312" w:cs="仿宋_GB2312"/>
                <w:spacing w:val="6"/>
                <w:sz w:val="21"/>
                <w:szCs w:val="21"/>
                <w:lang w:eastAsia="zh-CN"/>
              </w:rPr>
            </w:pPr>
            <w:r>
              <w:rPr>
                <w:rFonts w:hint="eastAsia" w:ascii="仿宋_GB2312" w:hAnsi="仿宋_GB2312" w:eastAsia="仿宋_GB2312" w:cs="仿宋_GB2312"/>
                <w:spacing w:val="6"/>
                <w:sz w:val="21"/>
                <w:szCs w:val="21"/>
                <w:lang w:eastAsia="zh-CN"/>
              </w:rPr>
              <w:t>根据供应商提供的质量保障措施进行评审：</w:t>
            </w:r>
          </w:p>
          <w:p w14:paraId="0BB78683">
            <w:pPr>
              <w:pStyle w:val="7"/>
              <w:ind w:left="105" w:leftChars="50"/>
              <w:rPr>
                <w:rFonts w:hint="eastAsia" w:ascii="仿宋_GB2312" w:hAnsi="仿宋_GB2312" w:eastAsia="仿宋_GB2312" w:cs="仿宋_GB2312"/>
                <w:spacing w:val="6"/>
                <w:sz w:val="21"/>
                <w:szCs w:val="21"/>
                <w:lang w:eastAsia="zh-CN"/>
              </w:rPr>
            </w:pPr>
            <w:r>
              <w:rPr>
                <w:rFonts w:hint="eastAsia" w:ascii="仿宋_GB2312" w:hAnsi="仿宋_GB2312" w:eastAsia="仿宋_GB2312" w:cs="仿宋_GB2312"/>
                <w:spacing w:val="6"/>
                <w:sz w:val="21"/>
                <w:szCs w:val="21"/>
                <w:lang w:val="en-US" w:eastAsia="zh-CN"/>
              </w:rPr>
              <w:t>1.</w:t>
            </w:r>
            <w:r>
              <w:rPr>
                <w:rFonts w:hint="eastAsia" w:ascii="仿宋_GB2312" w:hAnsi="仿宋_GB2312" w:eastAsia="仿宋_GB2312" w:cs="仿宋_GB2312"/>
                <w:spacing w:val="6"/>
                <w:sz w:val="21"/>
                <w:szCs w:val="21"/>
                <w:lang w:eastAsia="zh-CN"/>
              </w:rPr>
              <w:t>质量保障措施详细、合理，具有针对性，可操作性强，得</w:t>
            </w:r>
            <w:r>
              <w:rPr>
                <w:rFonts w:hint="eastAsia" w:ascii="仿宋_GB2312" w:hAnsi="仿宋_GB2312" w:eastAsia="仿宋_GB2312" w:cs="仿宋_GB2312"/>
                <w:spacing w:val="6"/>
                <w:sz w:val="21"/>
                <w:szCs w:val="21"/>
                <w:lang w:val="en-US" w:eastAsia="zh-CN"/>
              </w:rPr>
              <w:t>30</w:t>
            </w:r>
            <w:r>
              <w:rPr>
                <w:rFonts w:hint="eastAsia" w:ascii="仿宋_GB2312" w:hAnsi="仿宋_GB2312" w:eastAsia="仿宋_GB2312" w:cs="仿宋_GB2312"/>
                <w:spacing w:val="6"/>
                <w:sz w:val="21"/>
                <w:szCs w:val="21"/>
                <w:lang w:eastAsia="zh-CN"/>
              </w:rPr>
              <w:t>分；</w:t>
            </w:r>
          </w:p>
          <w:p w14:paraId="07A8B201">
            <w:pPr>
              <w:pStyle w:val="7"/>
              <w:ind w:left="105" w:leftChars="50"/>
              <w:rPr>
                <w:rFonts w:hint="eastAsia" w:ascii="仿宋_GB2312" w:hAnsi="仿宋_GB2312" w:eastAsia="仿宋_GB2312" w:cs="仿宋_GB2312"/>
                <w:spacing w:val="6"/>
                <w:sz w:val="21"/>
                <w:szCs w:val="21"/>
                <w:lang w:eastAsia="zh-CN"/>
              </w:rPr>
            </w:pPr>
            <w:r>
              <w:rPr>
                <w:rFonts w:hint="eastAsia" w:ascii="仿宋_GB2312" w:hAnsi="仿宋_GB2312" w:eastAsia="仿宋_GB2312" w:cs="仿宋_GB2312"/>
                <w:spacing w:val="6"/>
                <w:sz w:val="21"/>
                <w:szCs w:val="21"/>
                <w:lang w:val="en-US" w:eastAsia="zh-CN"/>
              </w:rPr>
              <w:t>2.</w:t>
            </w:r>
            <w:r>
              <w:rPr>
                <w:rFonts w:hint="eastAsia" w:ascii="仿宋_GB2312" w:hAnsi="仿宋_GB2312" w:eastAsia="仿宋_GB2312" w:cs="仿宋_GB2312"/>
                <w:spacing w:val="6"/>
                <w:sz w:val="21"/>
                <w:szCs w:val="21"/>
                <w:lang w:eastAsia="zh-CN"/>
              </w:rPr>
              <w:t>质量保障措施基本完善，可操作性有所欠缺，得</w:t>
            </w:r>
            <w:r>
              <w:rPr>
                <w:rFonts w:hint="eastAsia" w:ascii="仿宋_GB2312" w:hAnsi="仿宋_GB2312" w:eastAsia="仿宋_GB2312" w:cs="仿宋_GB2312"/>
                <w:spacing w:val="6"/>
                <w:sz w:val="21"/>
                <w:szCs w:val="21"/>
                <w:lang w:val="en-US" w:eastAsia="zh-CN"/>
              </w:rPr>
              <w:t>25</w:t>
            </w:r>
            <w:r>
              <w:rPr>
                <w:rFonts w:hint="eastAsia" w:ascii="仿宋_GB2312" w:hAnsi="仿宋_GB2312" w:eastAsia="仿宋_GB2312" w:cs="仿宋_GB2312"/>
                <w:spacing w:val="6"/>
                <w:sz w:val="21"/>
                <w:szCs w:val="21"/>
                <w:lang w:eastAsia="zh-CN"/>
              </w:rPr>
              <w:t>分；</w:t>
            </w:r>
          </w:p>
          <w:p w14:paraId="19B64281">
            <w:pPr>
              <w:pStyle w:val="7"/>
              <w:ind w:left="105" w:leftChars="50"/>
              <w:rPr>
                <w:rFonts w:hint="eastAsia" w:ascii="仿宋_GB2312" w:hAnsi="仿宋_GB2312" w:eastAsia="仿宋_GB2312" w:cs="仿宋_GB2312"/>
                <w:spacing w:val="6"/>
                <w:sz w:val="21"/>
                <w:szCs w:val="21"/>
                <w:lang w:eastAsia="zh-CN"/>
              </w:rPr>
            </w:pPr>
            <w:r>
              <w:rPr>
                <w:rFonts w:hint="eastAsia" w:ascii="仿宋_GB2312" w:hAnsi="仿宋_GB2312" w:eastAsia="仿宋_GB2312" w:cs="仿宋_GB2312"/>
                <w:spacing w:val="6"/>
                <w:sz w:val="21"/>
                <w:szCs w:val="21"/>
                <w:lang w:val="en-US" w:eastAsia="zh-CN"/>
              </w:rPr>
              <w:t>3.</w:t>
            </w:r>
            <w:r>
              <w:rPr>
                <w:rFonts w:hint="eastAsia" w:ascii="仿宋_GB2312" w:hAnsi="仿宋_GB2312" w:eastAsia="仿宋_GB2312" w:cs="仿宋_GB2312"/>
                <w:spacing w:val="6"/>
                <w:sz w:val="21"/>
                <w:szCs w:val="21"/>
                <w:lang w:eastAsia="zh-CN"/>
              </w:rPr>
              <w:t>质量保障措施较完善，缺乏可操作性，得</w:t>
            </w:r>
            <w:r>
              <w:rPr>
                <w:rFonts w:hint="eastAsia" w:ascii="仿宋_GB2312" w:hAnsi="仿宋_GB2312" w:eastAsia="仿宋_GB2312" w:cs="仿宋_GB2312"/>
                <w:spacing w:val="6"/>
                <w:sz w:val="21"/>
                <w:szCs w:val="21"/>
                <w:lang w:val="en-US" w:eastAsia="zh-CN"/>
              </w:rPr>
              <w:t>20</w:t>
            </w:r>
            <w:r>
              <w:rPr>
                <w:rFonts w:hint="eastAsia" w:ascii="仿宋_GB2312" w:hAnsi="仿宋_GB2312" w:eastAsia="仿宋_GB2312" w:cs="仿宋_GB2312"/>
                <w:spacing w:val="6"/>
                <w:sz w:val="21"/>
                <w:szCs w:val="21"/>
                <w:lang w:eastAsia="zh-CN"/>
              </w:rPr>
              <w:t>分；</w:t>
            </w:r>
          </w:p>
          <w:p w14:paraId="27247936">
            <w:pPr>
              <w:pStyle w:val="7"/>
              <w:ind w:left="105" w:leftChars="50"/>
              <w:rPr>
                <w:rFonts w:hint="eastAsia" w:ascii="仿宋_GB2312" w:hAnsi="仿宋_GB2312" w:eastAsia="仿宋_GB2312" w:cs="仿宋_GB2312"/>
                <w:spacing w:val="6"/>
                <w:sz w:val="21"/>
                <w:szCs w:val="21"/>
                <w:lang w:eastAsia="zh-CN"/>
              </w:rPr>
            </w:pPr>
            <w:r>
              <w:rPr>
                <w:rFonts w:hint="eastAsia" w:ascii="仿宋_GB2312" w:hAnsi="仿宋_GB2312" w:eastAsia="仿宋_GB2312" w:cs="仿宋_GB2312"/>
                <w:spacing w:val="6"/>
                <w:sz w:val="21"/>
                <w:szCs w:val="21"/>
                <w:lang w:val="en-US" w:eastAsia="zh-CN"/>
              </w:rPr>
              <w:t>4.</w:t>
            </w:r>
            <w:r>
              <w:rPr>
                <w:rFonts w:hint="eastAsia" w:ascii="仿宋_GB2312" w:hAnsi="仿宋_GB2312" w:eastAsia="仿宋_GB2312" w:cs="仿宋_GB2312"/>
                <w:spacing w:val="6"/>
                <w:sz w:val="21"/>
                <w:szCs w:val="21"/>
                <w:lang w:eastAsia="zh-CN"/>
              </w:rPr>
              <w:t>质量保障措施不完善，且不具有操作性，得</w:t>
            </w:r>
            <w:r>
              <w:rPr>
                <w:rFonts w:hint="eastAsia" w:ascii="仿宋_GB2312" w:hAnsi="仿宋_GB2312" w:eastAsia="仿宋_GB2312" w:cs="仿宋_GB2312"/>
                <w:spacing w:val="6"/>
                <w:sz w:val="21"/>
                <w:szCs w:val="21"/>
                <w:lang w:val="en-US" w:eastAsia="zh-CN"/>
              </w:rPr>
              <w:t>10</w:t>
            </w:r>
            <w:r>
              <w:rPr>
                <w:rFonts w:hint="eastAsia" w:ascii="仿宋_GB2312" w:hAnsi="仿宋_GB2312" w:eastAsia="仿宋_GB2312" w:cs="仿宋_GB2312"/>
                <w:spacing w:val="6"/>
                <w:sz w:val="21"/>
                <w:szCs w:val="21"/>
                <w:lang w:eastAsia="zh-CN"/>
              </w:rPr>
              <w:t>分；</w:t>
            </w:r>
          </w:p>
          <w:p w14:paraId="3B79284B">
            <w:pPr>
              <w:pStyle w:val="7"/>
              <w:ind w:left="105" w:leftChars="50"/>
              <w:rPr>
                <w:rFonts w:hint="eastAsia" w:ascii="仿宋_GB2312" w:hAnsi="仿宋_GB2312" w:eastAsia="仿宋_GB2312" w:cs="仿宋_GB2312"/>
                <w:sz w:val="21"/>
                <w:szCs w:val="21"/>
              </w:rPr>
            </w:pPr>
            <w:r>
              <w:rPr>
                <w:rFonts w:hint="eastAsia" w:ascii="仿宋_GB2312" w:hAnsi="仿宋_GB2312" w:eastAsia="仿宋_GB2312" w:cs="仿宋_GB2312"/>
                <w:spacing w:val="6"/>
                <w:sz w:val="21"/>
                <w:szCs w:val="21"/>
                <w:lang w:val="en-US" w:eastAsia="zh-CN"/>
              </w:rPr>
              <w:t>5.</w:t>
            </w:r>
            <w:r>
              <w:rPr>
                <w:rFonts w:hint="eastAsia" w:ascii="仿宋_GB2312" w:hAnsi="仿宋_GB2312" w:eastAsia="仿宋_GB2312" w:cs="仿宋_GB2312"/>
                <w:spacing w:val="6"/>
                <w:sz w:val="21"/>
                <w:szCs w:val="21"/>
                <w:lang w:eastAsia="zh-CN"/>
              </w:rPr>
              <w:t>质量保障措施可行性差或无提供，均不得分。</w:t>
            </w:r>
          </w:p>
        </w:tc>
      </w:tr>
      <w:tr w14:paraId="4D9F1E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2" w:hRule="atLeast"/>
        </w:trPr>
        <w:tc>
          <w:tcPr>
            <w:tcW w:w="1257" w:type="dxa"/>
            <w:tcBorders>
              <w:top w:val="single" w:color="auto" w:sz="4" w:space="0"/>
            </w:tcBorders>
            <w:vAlign w:val="center"/>
          </w:tcPr>
          <w:p w14:paraId="5D2B8B14">
            <w:pPr>
              <w:pStyle w:val="7"/>
              <w:jc w:val="center"/>
              <w:rPr>
                <w:rFonts w:hint="eastAsia" w:ascii="仿宋_GB2312" w:hAnsi="仿宋_GB2312" w:eastAsia="仿宋_GB2312" w:cs="仿宋_GB2312"/>
                <w:spacing w:val="5"/>
                <w:sz w:val="21"/>
                <w:szCs w:val="21"/>
                <w:lang w:eastAsia="zh-CN"/>
              </w:rPr>
            </w:pPr>
            <w:r>
              <w:rPr>
                <w:rFonts w:hint="eastAsia" w:ascii="仿宋_GB2312" w:hAnsi="仿宋_GB2312" w:eastAsia="仿宋_GB2312" w:cs="仿宋_GB2312"/>
                <w:spacing w:val="5"/>
                <w:sz w:val="21"/>
                <w:szCs w:val="21"/>
              </w:rPr>
              <w:t>商务</w:t>
            </w:r>
            <w:r>
              <w:rPr>
                <w:rFonts w:hint="eastAsia" w:ascii="仿宋_GB2312" w:hAnsi="仿宋_GB2312" w:eastAsia="仿宋_GB2312" w:cs="仿宋_GB2312"/>
                <w:spacing w:val="5"/>
                <w:sz w:val="21"/>
                <w:szCs w:val="21"/>
                <w:lang w:eastAsia="zh-CN"/>
              </w:rPr>
              <w:t>部分</w:t>
            </w:r>
          </w:p>
          <w:p w14:paraId="25044EB1">
            <w:pPr>
              <w:pStyle w:val="7"/>
              <w:jc w:val="center"/>
              <w:rPr>
                <w:rFonts w:hint="eastAsia" w:ascii="仿宋_GB2312" w:hAnsi="仿宋_GB2312" w:eastAsia="仿宋_GB2312" w:cs="仿宋_GB2312"/>
                <w:spacing w:val="-7"/>
                <w:sz w:val="21"/>
                <w:szCs w:val="21"/>
              </w:rPr>
            </w:pPr>
            <w:r>
              <w:rPr>
                <w:rFonts w:hint="eastAsia" w:ascii="仿宋_GB2312" w:hAnsi="仿宋_GB2312" w:eastAsia="仿宋_GB2312" w:cs="仿宋_GB2312"/>
                <w:spacing w:val="10"/>
                <w:kern w:val="2"/>
                <w:sz w:val="21"/>
                <w:szCs w:val="21"/>
                <w:lang w:val="en-US" w:eastAsia="zh-CN" w:bidi="ar-SA"/>
              </w:rPr>
              <w:t>（30分）</w:t>
            </w:r>
          </w:p>
        </w:tc>
        <w:tc>
          <w:tcPr>
            <w:tcW w:w="1704" w:type="dxa"/>
            <w:tcBorders>
              <w:top w:val="single" w:color="auto" w:sz="4" w:space="0"/>
              <w:bottom w:val="single" w:color="auto" w:sz="4" w:space="0"/>
            </w:tcBorders>
            <w:vAlign w:val="center"/>
          </w:tcPr>
          <w:p w14:paraId="79061BC1">
            <w:pPr>
              <w:adjustRightInd w:val="0"/>
              <w:snapToGrid w:val="0"/>
              <w:jc w:val="center"/>
              <w:rPr>
                <w:rFonts w:hint="eastAsia" w:ascii="仿宋_GB2312" w:hAnsi="仿宋_GB2312" w:eastAsia="仿宋_GB2312" w:cs="仿宋_GB2312"/>
                <w:spacing w:val="10"/>
                <w:kern w:val="2"/>
                <w:sz w:val="21"/>
                <w:szCs w:val="21"/>
                <w:lang w:val="en-US" w:eastAsia="en-US" w:bidi="ar-SA"/>
              </w:rPr>
            </w:pPr>
            <w:r>
              <w:rPr>
                <w:rFonts w:hint="eastAsia" w:ascii="仿宋_GB2312" w:hAnsi="仿宋_GB2312" w:eastAsia="仿宋_GB2312" w:cs="仿宋_GB2312"/>
                <w:spacing w:val="10"/>
                <w:kern w:val="2"/>
                <w:sz w:val="21"/>
                <w:szCs w:val="21"/>
                <w:lang w:val="en-US" w:eastAsia="en-US" w:bidi="ar-SA"/>
              </w:rPr>
              <w:t>项目负责人实力</w:t>
            </w:r>
          </w:p>
          <w:p w14:paraId="2A02514C">
            <w:pPr>
              <w:adjustRightInd w:val="0"/>
              <w:snapToGrid w:val="0"/>
              <w:jc w:val="center"/>
              <w:rPr>
                <w:rFonts w:hint="eastAsia" w:ascii="仿宋_GB2312" w:hAnsi="仿宋_GB2312" w:eastAsia="仿宋_GB2312" w:cs="仿宋_GB2312"/>
                <w:spacing w:val="6"/>
                <w:sz w:val="21"/>
                <w:szCs w:val="21"/>
                <w:lang w:eastAsia="zh-CN"/>
              </w:rPr>
            </w:pPr>
            <w:r>
              <w:rPr>
                <w:rFonts w:hint="eastAsia" w:ascii="仿宋_GB2312" w:hAnsi="仿宋_GB2312" w:eastAsia="仿宋_GB2312" w:cs="仿宋_GB2312"/>
                <w:spacing w:val="10"/>
                <w:kern w:val="2"/>
                <w:sz w:val="21"/>
                <w:szCs w:val="21"/>
                <w:lang w:val="en-US" w:eastAsia="zh-CN" w:bidi="ar-SA"/>
              </w:rPr>
              <w:t>（30分）</w:t>
            </w:r>
          </w:p>
        </w:tc>
        <w:tc>
          <w:tcPr>
            <w:tcW w:w="6220" w:type="dxa"/>
            <w:vAlign w:val="center"/>
          </w:tcPr>
          <w:p w14:paraId="1242867C">
            <w:pPr>
              <w:pStyle w:val="7"/>
              <w:ind w:left="105" w:leftChars="50"/>
              <w:rPr>
                <w:rFonts w:hint="eastAsia" w:ascii="仿宋_GB2312" w:hAnsi="仿宋_GB2312" w:eastAsia="仿宋_GB2312" w:cs="仿宋_GB2312"/>
                <w:spacing w:val="6"/>
                <w:sz w:val="21"/>
                <w:szCs w:val="21"/>
                <w:lang w:eastAsia="zh-CN"/>
              </w:rPr>
            </w:pPr>
            <w:r>
              <w:rPr>
                <w:rFonts w:hint="eastAsia" w:ascii="仿宋_GB2312" w:hAnsi="仿宋_GB2312" w:eastAsia="仿宋_GB2312" w:cs="仿宋_GB2312"/>
                <w:spacing w:val="6"/>
                <w:sz w:val="21"/>
                <w:szCs w:val="21"/>
                <w:lang w:eastAsia="zh-CN"/>
              </w:rPr>
              <w:t>拟委派的项目负责人，</w:t>
            </w:r>
            <w:r>
              <w:rPr>
                <w:rFonts w:hint="eastAsia" w:ascii="仿宋_GB2312" w:hAnsi="仿宋_GB2312" w:eastAsia="仿宋_GB2312" w:cs="仿宋_GB2312"/>
                <w:spacing w:val="6"/>
                <w:sz w:val="21"/>
                <w:szCs w:val="21"/>
                <w:lang w:eastAsia="zh-CN"/>
              </w:rPr>
              <w:t>具有注册环评工程师的，得</w:t>
            </w:r>
            <w:r>
              <w:rPr>
                <w:rFonts w:hint="eastAsia" w:ascii="仿宋_GB2312" w:hAnsi="仿宋_GB2312" w:eastAsia="仿宋_GB2312" w:cs="仿宋_GB2312"/>
                <w:spacing w:val="6"/>
                <w:sz w:val="21"/>
                <w:szCs w:val="21"/>
                <w:lang w:val="en-US" w:eastAsia="zh-CN"/>
              </w:rPr>
              <w:t>30</w:t>
            </w:r>
            <w:r>
              <w:rPr>
                <w:rFonts w:hint="eastAsia" w:ascii="仿宋_GB2312" w:hAnsi="仿宋_GB2312" w:eastAsia="仿宋_GB2312" w:cs="仿宋_GB2312"/>
                <w:spacing w:val="6"/>
                <w:sz w:val="21"/>
                <w:szCs w:val="21"/>
                <w:lang w:eastAsia="zh-CN"/>
              </w:rPr>
              <w:t>分。</w:t>
            </w:r>
          </w:p>
          <w:p w14:paraId="044F53AA">
            <w:pPr>
              <w:pStyle w:val="7"/>
              <w:ind w:left="105" w:leftChars="50"/>
              <w:rPr>
                <w:rFonts w:hint="eastAsia" w:ascii="仿宋_GB2312" w:hAnsi="仿宋_GB2312" w:eastAsia="仿宋_GB2312" w:cs="仿宋_GB2312"/>
                <w:color w:val="auto"/>
                <w:spacing w:val="6"/>
                <w:sz w:val="21"/>
                <w:szCs w:val="21"/>
                <w:lang w:eastAsia="zh-CN"/>
              </w:rPr>
            </w:pPr>
            <w:r>
              <w:rPr>
                <w:rFonts w:hint="eastAsia" w:ascii="仿宋_GB2312" w:hAnsi="仿宋_GB2312" w:eastAsia="仿宋_GB2312" w:cs="仿宋_GB2312"/>
                <w:spacing w:val="6"/>
                <w:sz w:val="21"/>
                <w:szCs w:val="21"/>
                <w:lang w:eastAsia="zh-CN"/>
              </w:rPr>
              <w:t>注：须提供上述人员相关资质证书复印件、</w:t>
            </w:r>
            <w:r>
              <w:rPr>
                <w:rFonts w:hint="eastAsia" w:ascii="仿宋_GB2312" w:hAnsi="仿宋_GB2312" w:eastAsia="仿宋_GB2312" w:cs="仿宋_GB2312"/>
                <w:spacing w:val="6"/>
                <w:sz w:val="21"/>
                <w:szCs w:val="21"/>
                <w:lang w:eastAsia="zh-CN"/>
              </w:rPr>
              <w:t>以及上述人员与供应商签订的劳务合同复印件或由社保机构或税务部门出具的在本项目投标截止日前6个月内任意1个月的由供应商为其购买的社保证明加盖供应商公章，</w:t>
            </w:r>
            <w:r>
              <w:rPr>
                <w:rFonts w:hint="eastAsia" w:ascii="仿宋_GB2312" w:hAnsi="仿宋_GB2312" w:eastAsia="仿宋_GB2312" w:cs="仿宋_GB2312"/>
                <w:spacing w:val="6"/>
                <w:sz w:val="21"/>
                <w:szCs w:val="21"/>
                <w:lang w:eastAsia="zh-CN"/>
              </w:rPr>
              <w:t>无或缺项或未按要求递交证明材料的不得分。</w:t>
            </w:r>
          </w:p>
        </w:tc>
      </w:tr>
      <w:tr w14:paraId="172101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1" w:hRule="atLeast"/>
        </w:trPr>
        <w:tc>
          <w:tcPr>
            <w:tcW w:w="1257" w:type="dxa"/>
            <w:vAlign w:val="center"/>
          </w:tcPr>
          <w:p w14:paraId="6A9D5C4B">
            <w:pPr>
              <w:pStyle w:val="7"/>
              <w:spacing w:line="349" w:lineRule="exact"/>
              <w:jc w:val="center"/>
              <w:rPr>
                <w:rFonts w:hint="eastAsia" w:ascii="仿宋_GB2312" w:hAnsi="仿宋_GB2312" w:eastAsia="仿宋_GB2312" w:cs="仿宋_GB2312"/>
                <w:spacing w:val="5"/>
                <w:sz w:val="21"/>
                <w:szCs w:val="21"/>
                <w:lang w:eastAsia="zh-CN"/>
              </w:rPr>
            </w:pPr>
            <w:r>
              <w:rPr>
                <w:rFonts w:hint="eastAsia" w:ascii="仿宋_GB2312" w:hAnsi="仿宋_GB2312" w:eastAsia="仿宋_GB2312" w:cs="仿宋_GB2312"/>
                <w:spacing w:val="5"/>
                <w:sz w:val="21"/>
                <w:szCs w:val="21"/>
              </w:rPr>
              <w:t>价格</w:t>
            </w:r>
            <w:r>
              <w:rPr>
                <w:rFonts w:hint="eastAsia" w:ascii="仿宋_GB2312" w:hAnsi="仿宋_GB2312" w:eastAsia="仿宋_GB2312" w:cs="仿宋_GB2312"/>
                <w:spacing w:val="5"/>
                <w:sz w:val="21"/>
                <w:szCs w:val="21"/>
                <w:lang w:eastAsia="zh-CN"/>
              </w:rPr>
              <w:t>部分</w:t>
            </w:r>
          </w:p>
          <w:p w14:paraId="3E3B82AE">
            <w:pPr>
              <w:pStyle w:val="7"/>
              <w:spacing w:line="349" w:lineRule="exact"/>
              <w:jc w:val="center"/>
              <w:rPr>
                <w:rFonts w:hint="eastAsia" w:ascii="仿宋_GB2312" w:hAnsi="仿宋_GB2312" w:eastAsia="仿宋_GB2312" w:cs="仿宋_GB2312"/>
                <w:spacing w:val="10"/>
                <w:sz w:val="21"/>
                <w:szCs w:val="21"/>
              </w:rPr>
            </w:pPr>
            <w:r>
              <w:rPr>
                <w:rFonts w:hint="eastAsia" w:ascii="仿宋_GB2312" w:hAnsi="仿宋_GB2312" w:eastAsia="仿宋_GB2312" w:cs="仿宋_GB2312"/>
                <w:spacing w:val="10"/>
                <w:kern w:val="2"/>
                <w:sz w:val="21"/>
                <w:szCs w:val="21"/>
                <w:lang w:val="en-US" w:eastAsia="zh-CN" w:bidi="ar-SA"/>
              </w:rPr>
              <w:t>（10分）</w:t>
            </w:r>
          </w:p>
        </w:tc>
        <w:tc>
          <w:tcPr>
            <w:tcW w:w="1704" w:type="dxa"/>
            <w:vAlign w:val="center"/>
          </w:tcPr>
          <w:p w14:paraId="4C6E05FC">
            <w:pPr>
              <w:pStyle w:val="7"/>
              <w:spacing w:line="349" w:lineRule="exact"/>
              <w:jc w:val="center"/>
              <w:rPr>
                <w:rFonts w:hint="eastAsia" w:ascii="仿宋_GB2312" w:hAnsi="仿宋_GB2312" w:eastAsia="仿宋_GB2312" w:cs="仿宋_GB2312"/>
                <w:spacing w:val="5"/>
                <w:sz w:val="21"/>
                <w:szCs w:val="21"/>
                <w:lang w:eastAsia="zh-CN"/>
              </w:rPr>
            </w:pPr>
            <w:r>
              <w:rPr>
                <w:rFonts w:hint="eastAsia" w:ascii="仿宋_GB2312" w:hAnsi="仿宋_GB2312" w:eastAsia="仿宋_GB2312" w:cs="仿宋_GB2312"/>
                <w:spacing w:val="5"/>
                <w:sz w:val="21"/>
                <w:szCs w:val="21"/>
                <w:lang w:eastAsia="zh-CN"/>
              </w:rPr>
              <w:t>价格得分</w:t>
            </w:r>
          </w:p>
          <w:p w14:paraId="2FA43D0A">
            <w:pPr>
              <w:pStyle w:val="7"/>
              <w:spacing w:line="349" w:lineRule="exact"/>
              <w:jc w:val="center"/>
              <w:rPr>
                <w:rFonts w:hint="eastAsia" w:ascii="仿宋_GB2312" w:hAnsi="仿宋_GB2312" w:eastAsia="仿宋_GB2312" w:cs="仿宋_GB2312"/>
                <w:spacing w:val="5"/>
                <w:sz w:val="21"/>
                <w:szCs w:val="21"/>
                <w:lang w:eastAsia="zh-CN"/>
              </w:rPr>
            </w:pPr>
            <w:r>
              <w:rPr>
                <w:rFonts w:hint="eastAsia" w:ascii="仿宋_GB2312" w:hAnsi="仿宋_GB2312" w:eastAsia="仿宋_GB2312" w:cs="仿宋_GB2312"/>
                <w:spacing w:val="5"/>
                <w:sz w:val="21"/>
                <w:szCs w:val="21"/>
                <w:lang w:eastAsia="zh-CN"/>
              </w:rPr>
              <w:t>（</w:t>
            </w:r>
            <w:r>
              <w:rPr>
                <w:rFonts w:hint="eastAsia" w:ascii="仿宋_GB2312" w:hAnsi="仿宋_GB2312" w:eastAsia="仿宋_GB2312" w:cs="仿宋_GB2312"/>
                <w:spacing w:val="5"/>
                <w:sz w:val="21"/>
                <w:szCs w:val="21"/>
                <w:lang w:val="en-US" w:eastAsia="zh-CN"/>
              </w:rPr>
              <w:t>10分</w:t>
            </w:r>
            <w:r>
              <w:rPr>
                <w:rFonts w:hint="eastAsia" w:ascii="仿宋_GB2312" w:hAnsi="仿宋_GB2312" w:eastAsia="仿宋_GB2312" w:cs="仿宋_GB2312"/>
                <w:spacing w:val="5"/>
                <w:sz w:val="21"/>
                <w:szCs w:val="21"/>
                <w:lang w:eastAsia="zh-CN"/>
              </w:rPr>
              <w:t>）</w:t>
            </w:r>
          </w:p>
        </w:tc>
        <w:tc>
          <w:tcPr>
            <w:tcW w:w="6220" w:type="dxa"/>
          </w:tcPr>
          <w:p w14:paraId="078F8EF5">
            <w:pPr>
              <w:pStyle w:val="7"/>
              <w:ind w:left="105" w:leftChars="50"/>
              <w:rPr>
                <w:rFonts w:hint="default" w:ascii="仿宋_GB2312" w:hAnsi="仿宋_GB2312" w:eastAsia="仿宋_GB2312" w:cs="仿宋_GB2312"/>
                <w:spacing w:val="6"/>
                <w:sz w:val="21"/>
                <w:szCs w:val="21"/>
                <w:vertAlign w:val="subscript"/>
                <w:lang w:val="en-US" w:eastAsia="zh-CN"/>
              </w:rPr>
            </w:pPr>
            <w:r>
              <w:rPr>
                <w:rFonts w:hint="eastAsia" w:ascii="仿宋_GB2312" w:hAnsi="宋体" w:eastAsia="仿宋_GB2312" w:cs="宋体"/>
                <w:sz w:val="21"/>
                <w:szCs w:val="21"/>
              </w:rPr>
              <w:t>价格分应当采用低价优先</w:t>
            </w:r>
            <w:bookmarkStart w:id="0" w:name="_GoBack"/>
            <w:bookmarkEnd w:id="0"/>
            <w:r>
              <w:rPr>
                <w:rFonts w:hint="eastAsia" w:ascii="仿宋_GB2312" w:hAnsi="宋体" w:eastAsia="仿宋_GB2312" w:cs="宋体"/>
                <w:sz w:val="21"/>
                <w:szCs w:val="21"/>
              </w:rPr>
              <w:t>法计算，即满足采购需求且报价最低的为</w:t>
            </w:r>
            <w:r>
              <w:rPr>
                <w:rFonts w:hint="eastAsia" w:ascii="仿宋_GB2312" w:hAnsi="仿宋_GB2312" w:eastAsia="仿宋_GB2312" w:cs="仿宋_GB2312"/>
                <w:spacing w:val="6"/>
                <w:sz w:val="21"/>
                <w:szCs w:val="21"/>
                <w:lang w:eastAsia="zh-CN"/>
              </w:rPr>
              <w:t>基准价</w:t>
            </w:r>
            <w:r>
              <w:rPr>
                <w:rFonts w:hint="eastAsia" w:ascii="仿宋_GB2312" w:hAnsi="宋体" w:eastAsia="仿宋_GB2312" w:cs="宋体"/>
                <w:sz w:val="21"/>
                <w:szCs w:val="21"/>
              </w:rPr>
              <w:t>，该项价格得分为满分。其他供应商的价格得分统一按照下列公式计算：供应商价格得分</w:t>
            </w:r>
            <w:r>
              <w:rPr>
                <w:rFonts w:hint="eastAsia" w:ascii="仿宋_GB2312" w:hAnsi="仿宋_GB2312" w:eastAsia="仿宋_GB2312" w:cs="仿宋_GB2312"/>
                <w:sz w:val="24"/>
                <w:szCs w:val="24"/>
                <w:lang w:val="en-US" w:eastAsia="zh-CN"/>
              </w:rPr>
              <w:t>=</w:t>
            </w:r>
            <w:r>
              <w:rPr>
                <w:rFonts w:hint="eastAsia" w:ascii="仿宋_GB2312" w:hAnsi="宋体" w:eastAsia="仿宋_GB2312" w:cs="宋体"/>
                <w:sz w:val="21"/>
                <w:szCs w:val="21"/>
              </w:rPr>
              <w:t>(基准价／报价)×10，价格得分四舍五入后保留小数点后两位有效数。</w:t>
            </w:r>
            <w:r>
              <w:rPr>
                <w:rFonts w:hint="eastAsia" w:ascii="仿宋_GB2312" w:hAnsi="宋体" w:eastAsia="仿宋_GB2312" w:cs="宋体"/>
                <w:b/>
                <w:color w:val="auto"/>
                <w:sz w:val="21"/>
                <w:szCs w:val="21"/>
              </w:rPr>
              <w:t>（对符合规定的小型和微型企业（监狱企业、残疾人福利单位视同小型、微型企业）报价给予10%的价格扣除。）</w:t>
            </w:r>
          </w:p>
        </w:tc>
      </w:tr>
    </w:tbl>
    <w:p w14:paraId="233B8FAE">
      <w:pPr>
        <w:spacing w:line="560" w:lineRule="exact"/>
        <w:jc w:val="left"/>
        <w:rPr>
          <w:rFonts w:ascii="仿宋_GB2312" w:hAnsi="仿宋_GB2312" w:eastAsia="仿宋_GB2312" w:cs="仿宋_GB2312"/>
          <w:sz w:val="32"/>
          <w:szCs w:val="32"/>
        </w:rPr>
      </w:pPr>
    </w:p>
    <w:p w14:paraId="7DE6A948"/>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23E33">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89830">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E3F0D">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7D669">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98699">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FCB36">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0YTIzZjFjZWM2YTUwNTllNDY1MjkxZWM4YzY1ODIifQ=="/>
  </w:docVars>
  <w:rsids>
    <w:rsidRoot w:val="35892141"/>
    <w:rsid w:val="00481355"/>
    <w:rsid w:val="007D7C46"/>
    <w:rsid w:val="00965FA5"/>
    <w:rsid w:val="0D6B65DA"/>
    <w:rsid w:val="10E0312B"/>
    <w:rsid w:val="1D62193C"/>
    <w:rsid w:val="244C3A3D"/>
    <w:rsid w:val="35892141"/>
    <w:rsid w:val="38DB28A5"/>
    <w:rsid w:val="3A0E777E"/>
    <w:rsid w:val="4FE51048"/>
    <w:rsid w:val="663414BA"/>
    <w:rsid w:val="7EB970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10"/>
    <w:autoRedefine/>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Table Text"/>
    <w:basedOn w:val="1"/>
    <w:autoRedefine/>
    <w:semiHidden/>
    <w:qFormat/>
    <w:uiPriority w:val="0"/>
    <w:rPr>
      <w:rFonts w:ascii="宋体" w:hAnsi="宋体" w:eastAsia="宋体" w:cs="宋体"/>
      <w:sz w:val="28"/>
      <w:szCs w:val="28"/>
      <w:lang w:eastAsia="en-US"/>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character" w:customStyle="1" w:styleId="9">
    <w:name w:val="页眉 Char"/>
    <w:basedOn w:val="6"/>
    <w:link w:val="4"/>
    <w:autoRedefine/>
    <w:qFormat/>
    <w:uiPriority w:val="0"/>
    <w:rPr>
      <w:kern w:val="2"/>
      <w:sz w:val="18"/>
      <w:szCs w:val="18"/>
    </w:rPr>
  </w:style>
  <w:style w:type="character" w:customStyle="1" w:styleId="10">
    <w:name w:val="页脚 Char"/>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822</Words>
  <Characters>855</Characters>
  <Lines>12</Lines>
  <Paragraphs>3</Paragraphs>
  <TotalTime>4</TotalTime>
  <ScaleCrop>false</ScaleCrop>
  <LinksUpToDate>false</LinksUpToDate>
  <CharactersWithSpaces>855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2024-05-20T07:22:00Z</dcterms:created>
  <dc:creator>ヾ銘⌒ァ風ㄗ</dc:creator>
  <cp:lastModifiedBy>SY</cp:lastModifiedBy>
  <cp:lastPrinted>2024-06-14T01:51:00Z</cp:lastPrinted>
  <dcterms:modified xsi:type="dcterms:W3CDTF">2025-03-31T06:38:59Z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C77BD4F6F068423782E70A3F198B05EF_13</vt:lpwstr>
  </property>
  <property fmtid="{D5CDD505-2E9C-101B-9397-08002B2CF9AE}" pid="4" name="KSOTemplateDocerSaveRecord">
    <vt:lpwstr>eyJoZGlkIjoiMjk0YTIzZjFjZWM2YTUwNTllNDY1MjkxZWM4YzY1ODIiLCJ1c2VySWQiOiIxMTc0MzExMjQ5In0=</vt:lpwstr>
  </property>
</Properties>
</file>