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rPr>
          <w:rFonts w:ascii="黑体" w:hAnsi="黑体" w:eastAsia="黑体" w:cs="黑体"/>
          <w:color w:val="000000" w:themeColor="text1"/>
          <w:sz w:val="32"/>
          <w:szCs w:val="32"/>
          <w:shd w:val="clear" w:color="auto" w:fill="FFFFFF"/>
          <w14:textFill>
            <w14:solidFill>
              <w14:schemeClr w14:val="tx1"/>
            </w14:solidFill>
          </w14:textFill>
        </w:rPr>
      </w:pPr>
      <w:bookmarkStart w:id="0" w:name="_GoBack"/>
      <w:bookmarkEnd w:id="0"/>
      <w:r>
        <w:rPr>
          <w:rFonts w:hint="eastAsia" w:ascii="黑体" w:hAnsi="黑体" w:eastAsia="黑体" w:cs="黑体"/>
          <w:color w:val="000000" w:themeColor="text1"/>
          <w:sz w:val="32"/>
          <w:szCs w:val="32"/>
          <w:shd w:val="clear" w:color="auto" w:fill="FFFFFF"/>
          <w14:textFill>
            <w14:solidFill>
              <w14:schemeClr w14:val="tx1"/>
            </w14:solidFill>
          </w14:textFill>
        </w:rPr>
        <w:t>附件3</w:t>
      </w:r>
    </w:p>
    <w:p>
      <w:pPr>
        <w:pStyle w:val="4"/>
        <w:widowControl/>
        <w:shd w:val="clear" w:color="auto" w:fill="FFFFFF"/>
        <w:spacing w:beforeAutospacing="0" w:afterAutospacing="0" w:line="560" w:lineRule="exact"/>
        <w:jc w:val="center"/>
        <w:rPr>
          <w:rFonts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t>评分表</w:t>
      </w:r>
    </w:p>
    <w:p/>
    <w:tbl>
      <w:tblPr>
        <w:tblStyle w:val="5"/>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18"/>
        <w:gridCol w:w="765"/>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8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评审内容</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满分</w:t>
            </w:r>
          </w:p>
        </w:tc>
        <w:tc>
          <w:tcPr>
            <w:tcW w:w="7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8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技术商务分（90%）</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对项目的熟悉理解程度</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b/>
                <w:sz w:val="24"/>
                <w:szCs w:val="24"/>
              </w:rPr>
            </w:pPr>
            <w:r>
              <w:rPr>
                <w:rFonts w:hint="eastAsia" w:ascii="仿宋_GB2312" w:hAnsi="仿宋_GB2312" w:eastAsia="仿宋_GB2312" w:cs="仿宋_GB2312"/>
                <w:sz w:val="24"/>
                <w:szCs w:val="24"/>
              </w:rPr>
              <w:t>15分</w:t>
            </w:r>
          </w:p>
        </w:tc>
        <w:tc>
          <w:tcPr>
            <w:tcW w:w="7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根据供应商对项目的熟悉理解程度进行综合评分：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对项目背景、工作内容理解和认识分析完整到位、理解深入全面，得</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15分；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对项目背景、工作内容理解和认识分析较完整、理解较全面，得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11分；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对项目背景、工作内容理解和认识分析基本到位，理解基本准确，得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7分；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b/>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对项目背景、工作内容理解和认识分析</w:t>
            </w:r>
            <w:r>
              <w:rPr>
                <w:rFonts w:hint="eastAsia" w:ascii="仿宋_GB2312" w:hAnsi="仿宋_GB2312" w:eastAsia="仿宋_GB2312" w:cs="仿宋_GB2312"/>
                <w:sz w:val="24"/>
                <w:szCs w:val="24"/>
                <w:lang w:val="en-US" w:eastAsia="zh-CN"/>
              </w:rPr>
              <w:t>不到位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理</w:t>
            </w:r>
            <w:r>
              <w:rPr>
                <w:rFonts w:hint="eastAsia" w:ascii="仿宋_GB2312" w:hAnsi="仿宋_GB2312" w:eastAsia="仿宋_GB2312" w:cs="仿宋_GB2312"/>
                <w:sz w:val="24"/>
                <w:szCs w:val="24"/>
              </w:rPr>
              <w:t>解有偏差，得</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80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项目实施方案</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7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根据供应商提供的实施方案（不限于工作总体计划、工作内容、工作方案等）进行综合评审：</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方案先进，操作性强，思路清晰、合理，得</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15分；</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方案较为先进，操作性相对强，思路较为清晰、合理，得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11分；</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方案一般，操作性程度一般：</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7分；</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方案落后，操作性程度弱：</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0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项目进度和质量保障措施</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7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根据供应商提供的进度和质量保障措施方案进行综合评审：</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进度安排合理，质量与安全的保证措施可操作性强，充分考虑到本项目实际的操作情况，内容详尽有针对性，能有效保障项目实施，得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10分；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进度安排比较合理，质量与安全的保证措施可操作性较强，对本项目实际的操作情况考虑比较全，内容部分有针对性，部分能有效保障项目实施，得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7分；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进度安排具有合理性，质量与安全的保证措施具有可操作性，但对本项目实际的操作情况考虑不全，内容部分有针对性，部分能有效保障项目实施，得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4分；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进度安排不合理，对本项目实际的操作情况考虑不全，内容无有针对性，未能考虑到本项目实际的操作情况，无法有效保障项目实施，得</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80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121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项目人员情况</w:t>
            </w:r>
          </w:p>
        </w:tc>
        <w:tc>
          <w:tcPr>
            <w:tcW w:w="76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726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项目负责人：具备环境类研究员或正高级工程师职称资格的，得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分；具有副研究员或高级工程师职称的，得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分；具有工程师职称的，得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参与本项目的团队成员（不含项目负责人）：具有高级工程师及以上职称，每提供一个符合的人员得3分；具有中级职称的，每提供一个符合的人员得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分，本项最高得1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【须提供相关人员职称证书以及开标前三个月内（2024年1月1日至今）任意一个月的社保证明（加盖投标人公章），未按要求提供相应资料的不得分】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0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121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供应商同类项目业绩情况</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76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726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供应商提供202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年1月1日至今承担过同类项目（不限于</w:t>
            </w:r>
            <w:r>
              <w:rPr>
                <w:rFonts w:hint="eastAsia" w:ascii="仿宋_GB2312" w:hAnsi="仿宋_GB2312" w:eastAsia="仿宋_GB2312" w:cs="仿宋_GB2312"/>
                <w:sz w:val="24"/>
                <w:szCs w:val="24"/>
                <w:lang w:val="en-US" w:eastAsia="zh-CN"/>
              </w:rPr>
              <w:t>应急预案编写、</w:t>
            </w:r>
            <w:r>
              <w:rPr>
                <w:rFonts w:hint="eastAsia" w:ascii="仿宋_GB2312" w:hAnsi="仿宋_GB2312" w:eastAsia="仿宋_GB2312" w:cs="仿宋_GB2312"/>
                <w:sz w:val="24"/>
                <w:szCs w:val="24"/>
              </w:rPr>
              <w:t>污染现状调研或评估项目），每提供1个项目得4分，最高得20分。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【注：提供合同关键页复印件（含签订合同双方的单位名称、合同项目名称、服务内容与含签订合同双方的落款盖章、签订日期的关键页），日期以合同签订之日为准，未提供不得分】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0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p>
        </w:tc>
        <w:tc>
          <w:tcPr>
            <w:tcW w:w="121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投标人综合实力</w:t>
            </w:r>
          </w:p>
        </w:tc>
        <w:tc>
          <w:tcPr>
            <w:tcW w:w="76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726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年1月1日以来（以获奖证书颁发时间为准）获得环保领域相关的奖项（表彰），由国家、省级、市级相关主管部门颁发的，国家级奖项（表彰）每个得10分、省级奖项（表彰）每个得5分、市级奖项（表彰）每个得2分，最高得10分。（不同人员获得同一项目奖项（表彰）的，不重复计分；须提供有效期内的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20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价格评分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7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投报最低价者(单价总和)得分10分，其余投标者价格分数=[最低价(单价总和)/投标价格(单价总和)]×10%</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1、根据财库(2020)46号文要求，对符合价格扣除规定企业的报价给予10%的价格扣除，用扣除后的价格参加评审。</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2、上述扣除后的价格仅用于计算价格评分，成交金额以实际投标(响应)价为准。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3、计算过程及结果数字保留两位小数。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0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综合评分最高者原则上推荐为成交供应商，综合评分相同的以报价低者推荐为成交供应商。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0054" w:type="dxa"/>
            <w:gridSpan w:val="4"/>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评标委员会认为报价供应商的报价明显低于其他通过符合性审查报价供应商的报价，有可能影响产品质量或者不能诚信履约的，应当要求供应商提供书面说明，必要时提交相证明材料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报价供应商不能证明其报价合理性的，评标委员会应当将其作为无效投标处理。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MTI0ZmFkOGQ2M2IzOTQwNTEwODEzZDA2ZGJhMGUifQ=="/>
  </w:docVars>
  <w:rsids>
    <w:rsidRoot w:val="73E54AEE"/>
    <w:rsid w:val="00026ED4"/>
    <w:rsid w:val="00523618"/>
    <w:rsid w:val="00567D6A"/>
    <w:rsid w:val="008953CC"/>
    <w:rsid w:val="00F50BBE"/>
    <w:rsid w:val="00F83A1E"/>
    <w:rsid w:val="14817D10"/>
    <w:rsid w:val="2A003EF8"/>
    <w:rsid w:val="530A3C0C"/>
    <w:rsid w:val="73E5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1503</Words>
  <Characters>1572</Characters>
  <Lines>10</Lines>
  <Paragraphs>2</Paragraphs>
  <TotalTime>101</TotalTime>
  <ScaleCrop>false</ScaleCrop>
  <LinksUpToDate>false</LinksUpToDate>
  <CharactersWithSpaces>1572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2024-05-29T07:58:00Z</dcterms:created>
  <dc:creator>Jan</dc:creator>
  <cp:lastModifiedBy>Jan</cp:lastModifiedBy>
  <cp:lastPrinted>2024-06-06T08:46:20Z</cp:lastPrinted>
  <dcterms:modified xsi:type="dcterms:W3CDTF">2024-06-06T08:49:28Z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B5F38BFCB3844AFE86A4D26F321ABA1D_11</vt:lpwstr>
  </property>
</Properties>
</file>