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autoSpaceDE w:val="0"/>
        <w:autoSpaceDN w:val="0"/>
        <w:adjustRightInd w:val="0"/>
        <w:spacing w:line="480" w:lineRule="exact"/>
        <w:jc w:val="center"/>
        <w:outlineLvl w:val="0"/>
        <w:rPr>
          <w:rFonts w:ascii="宋体"/>
          <w:b/>
          <w:color w:val="auto"/>
          <w:kern w:val="44"/>
          <w:sz w:val="44"/>
          <w:szCs w:val="20"/>
          <w:highlight w:val="none"/>
        </w:rPr>
      </w:pPr>
      <w:r>
        <w:rPr>
          <w:rFonts w:hint="eastAsia" w:ascii="宋体" w:hAnsi="宋体" w:cs="宋体"/>
          <w:b/>
          <w:color w:val="auto"/>
          <w:sz w:val="28"/>
          <w:szCs w:val="28"/>
          <w:highlight w:val="none"/>
        </w:rPr>
        <w:t>2024年</w:t>
      </w:r>
      <w:r>
        <w:rPr>
          <w:rFonts w:ascii="宋体" w:hAnsi="宋体" w:cs="宋体"/>
          <w:b/>
          <w:color w:val="auto"/>
          <w:sz w:val="28"/>
          <w:szCs w:val="28"/>
          <w:highlight w:val="none"/>
        </w:rPr>
        <w:t>城建档案资料数字化加工</w:t>
      </w:r>
      <w:r>
        <w:rPr>
          <w:rFonts w:hint="eastAsia" w:ascii="宋体" w:hAnsi="宋体" w:cs="宋体"/>
          <w:b/>
          <w:color w:val="auto"/>
          <w:sz w:val="28"/>
          <w:szCs w:val="28"/>
          <w:highlight w:val="none"/>
        </w:rPr>
        <w:t>服务</w:t>
      </w:r>
      <w:r>
        <w:rPr>
          <w:rFonts w:ascii="宋体" w:hAnsi="宋体" w:cs="宋体"/>
          <w:b/>
          <w:color w:val="auto"/>
          <w:sz w:val="28"/>
          <w:szCs w:val="28"/>
          <w:highlight w:val="none"/>
        </w:rPr>
        <w:t>项目采购需求</w:t>
      </w:r>
    </w:p>
    <w:p>
      <w:pPr>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一、采购内容及简要说明：</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1.采购内容：城建档案资料数字化加工服务；</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2.供应商不得将本项目中的内容拆散来响应；</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3.采购人设定了本项目的最高限价（含税）</w:t>
      </w:r>
      <w:r>
        <w:rPr>
          <w:rFonts w:ascii="宋体" w:hAnsi="宋体" w:cs="宋体"/>
          <w:color w:val="auto"/>
          <w:szCs w:val="21"/>
          <w:highlight w:val="none"/>
        </w:rPr>
        <w:t>;</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4.供应商响应总价直到完成本项目的全部服务为止是固定不变的。</w:t>
      </w:r>
    </w:p>
    <w:p>
      <w:pPr>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二、本项目总价为人民币</w:t>
      </w:r>
      <w:r>
        <w:rPr>
          <w:rFonts w:hint="eastAsia" w:ascii="宋体" w:hAnsi="宋体" w:cs="宋体"/>
          <w:b/>
          <w:color w:val="auto"/>
          <w:szCs w:val="21"/>
          <w:highlight w:val="none"/>
          <w:lang w:eastAsia="zh-CN"/>
        </w:rPr>
        <w:t>18</w:t>
      </w:r>
      <w:r>
        <w:rPr>
          <w:rFonts w:hint="eastAsia" w:ascii="宋体" w:hAnsi="宋体" w:cs="宋体"/>
          <w:b/>
          <w:color w:val="auto"/>
          <w:szCs w:val="21"/>
          <w:highlight w:val="none"/>
        </w:rPr>
        <w:t>万元（含税价），最高限价为人民币</w:t>
      </w:r>
      <w:r>
        <w:rPr>
          <w:rFonts w:hint="eastAsia" w:ascii="宋体" w:hAnsi="宋体" w:cs="宋体"/>
          <w:b/>
          <w:color w:val="auto"/>
          <w:szCs w:val="21"/>
          <w:highlight w:val="none"/>
          <w:lang w:eastAsia="zh-CN"/>
        </w:rPr>
        <w:t>18</w:t>
      </w:r>
      <w:r>
        <w:rPr>
          <w:rFonts w:hint="eastAsia" w:ascii="宋体" w:hAnsi="宋体" w:cs="宋体"/>
          <w:b/>
          <w:color w:val="auto"/>
          <w:szCs w:val="21"/>
          <w:highlight w:val="none"/>
        </w:rPr>
        <w:t>万元（含税价），响应报价不得超过最高限价，否则作无效响应处理。</w:t>
      </w:r>
    </w:p>
    <w:p>
      <w:pPr>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三、技术要求</w:t>
      </w:r>
    </w:p>
    <w:p>
      <w:pPr>
        <w:tabs>
          <w:tab w:val="left" w:pos="720"/>
          <w:tab w:val="left" w:pos="1004"/>
        </w:tabs>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1. 项目概况</w:t>
      </w:r>
    </w:p>
    <w:p>
      <w:pPr>
        <w:widowControl/>
        <w:shd w:val="clear" w:color="auto" w:fill="FFFFFF"/>
        <w:adjustRightInd w:val="0"/>
        <w:snapToGrid w:val="0"/>
        <w:spacing w:line="480" w:lineRule="exact"/>
        <w:ind w:firstLine="420" w:firstLineChars="200"/>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项目需在采购人城建档案管理系统WebBos的基础上完成城建档案整理、扫描、信息著录、数据挂接任务，并在项目质量检查人员的监控下完成项目实施工作；项目采用包工包料全包形式，供应商提供档案扫描加工平台和相关硬件设备。采购人提供场地，供应商负责对约</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rPr>
        <w:t>万页A4文字材料、</w:t>
      </w:r>
      <w:r>
        <w:rPr>
          <w:rFonts w:hint="eastAsia" w:ascii="宋体" w:hAnsi="宋体" w:cs="宋体"/>
          <w:color w:val="auto"/>
          <w:szCs w:val="21"/>
          <w:highlight w:val="none"/>
          <w:shd w:val="clear" w:color="auto" w:fill="FFFFFF"/>
        </w:rPr>
        <w:t>约</w:t>
      </w:r>
      <w:r>
        <w:rPr>
          <w:rFonts w:hint="eastAsia" w:ascii="宋体" w:hAnsi="宋体" w:cs="宋体"/>
          <w:color w:val="auto"/>
          <w:szCs w:val="21"/>
          <w:highlight w:val="none"/>
          <w:shd w:val="clear" w:color="auto" w:fill="FFFFFF"/>
          <w:lang w:val="en-US" w:eastAsia="zh-CN"/>
        </w:rPr>
        <w:t>3万</w:t>
      </w:r>
      <w:r>
        <w:rPr>
          <w:rFonts w:hint="eastAsia" w:ascii="宋体" w:hAnsi="宋体" w:cs="宋体"/>
          <w:color w:val="auto"/>
          <w:szCs w:val="21"/>
          <w:highlight w:val="none"/>
          <w:shd w:val="clear" w:color="auto" w:fill="FFFFFF"/>
        </w:rPr>
        <w:t>张</w:t>
      </w:r>
      <w:r>
        <w:rPr>
          <w:rFonts w:hint="eastAsia" w:ascii="宋体" w:hAnsi="宋体" w:cs="宋体"/>
          <w:color w:val="auto"/>
          <w:kern w:val="0"/>
          <w:szCs w:val="21"/>
          <w:highlight w:val="none"/>
          <w:shd w:val="clear" w:color="auto" w:fill="FFFFFF"/>
        </w:rPr>
        <w:t>工程图纸进行整理、信息著录、数字化扫描、装订、建卷等工作。</w:t>
      </w:r>
    </w:p>
    <w:tbl>
      <w:tblPr>
        <w:tblStyle w:val="5"/>
        <w:tblW w:w="9587" w:type="dxa"/>
        <w:jc w:val="center"/>
        <w:tblInd w:w="0" w:type="dxa"/>
        <w:tblLayout w:type="fixed"/>
        <w:tblCellMar>
          <w:top w:w="0" w:type="dxa"/>
          <w:left w:w="108" w:type="dxa"/>
          <w:bottom w:w="0" w:type="dxa"/>
          <w:right w:w="108" w:type="dxa"/>
        </w:tblCellMar>
      </w:tblPr>
      <w:tblGrid>
        <w:gridCol w:w="774"/>
        <w:gridCol w:w="7054"/>
        <w:gridCol w:w="1759"/>
      </w:tblGrid>
      <w:tr>
        <w:tblPrEx>
          <w:tblLayout w:type="fixed"/>
          <w:tblCellMar>
            <w:top w:w="0" w:type="dxa"/>
            <w:left w:w="108" w:type="dxa"/>
            <w:bottom w:w="0" w:type="dxa"/>
            <w:right w:w="108" w:type="dxa"/>
          </w:tblCellMar>
        </w:tblPrEx>
        <w:trPr>
          <w:trHeight w:val="45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705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服务项目</w:t>
            </w:r>
          </w:p>
        </w:tc>
        <w:tc>
          <w:tcPr>
            <w:tcW w:w="1759"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预估</w:t>
            </w:r>
            <w:r>
              <w:rPr>
                <w:rFonts w:hint="eastAsia" w:ascii="宋体" w:hAnsi="宋体" w:cs="宋体"/>
                <w:b/>
                <w:color w:val="auto"/>
                <w:kern w:val="0"/>
                <w:szCs w:val="21"/>
                <w:highlight w:val="none"/>
              </w:rPr>
              <w:t>数量</w:t>
            </w:r>
          </w:p>
        </w:tc>
      </w:tr>
      <w:tr>
        <w:tblPrEx>
          <w:tblLayout w:type="fixed"/>
          <w:tblCellMar>
            <w:top w:w="0" w:type="dxa"/>
            <w:left w:w="108" w:type="dxa"/>
            <w:bottom w:w="0" w:type="dxa"/>
            <w:right w:w="108" w:type="dxa"/>
          </w:tblCellMar>
        </w:tblPrEx>
        <w:trPr>
          <w:trHeight w:val="45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054"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A4幅面文字材料整理、信息著录、扫描、图像处理、数据挂接、装盒上架</w:t>
            </w:r>
          </w:p>
        </w:tc>
        <w:tc>
          <w:tcPr>
            <w:tcW w:w="1759"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不少于</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万页</w:t>
            </w:r>
          </w:p>
        </w:tc>
      </w:tr>
      <w:tr>
        <w:tblPrEx>
          <w:tblLayout w:type="fixed"/>
          <w:tblCellMar>
            <w:top w:w="0" w:type="dxa"/>
            <w:left w:w="108" w:type="dxa"/>
            <w:bottom w:w="0" w:type="dxa"/>
            <w:right w:w="108" w:type="dxa"/>
          </w:tblCellMar>
        </w:tblPrEx>
        <w:trPr>
          <w:trHeight w:val="45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7054"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工程图纸整理、信息著录、扫描、图像处理、数据挂接、装盒上架</w:t>
            </w:r>
          </w:p>
        </w:tc>
        <w:tc>
          <w:tcPr>
            <w:tcW w:w="1759"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不少于</w:t>
            </w:r>
            <w:r>
              <w:rPr>
                <w:rFonts w:hint="eastAsia" w:ascii="宋体" w:hAnsi="宋体" w:cs="宋体"/>
                <w:color w:val="auto"/>
                <w:szCs w:val="21"/>
                <w:highlight w:val="none"/>
                <w:shd w:val="clear" w:color="auto" w:fill="FFFFFF"/>
                <w:lang w:val="en-US" w:eastAsia="zh-CN"/>
              </w:rPr>
              <w:t>3万</w:t>
            </w:r>
            <w:r>
              <w:rPr>
                <w:rFonts w:hint="eastAsia" w:ascii="宋体" w:hAnsi="宋体" w:cs="宋体"/>
                <w:color w:val="auto"/>
                <w:kern w:val="0"/>
                <w:szCs w:val="21"/>
                <w:highlight w:val="none"/>
              </w:rPr>
              <w:t>张</w:t>
            </w:r>
          </w:p>
        </w:tc>
      </w:tr>
      <w:tr>
        <w:tblPrEx>
          <w:tblLayout w:type="fixed"/>
          <w:tblCellMar>
            <w:top w:w="0" w:type="dxa"/>
            <w:left w:w="108" w:type="dxa"/>
            <w:bottom w:w="0" w:type="dxa"/>
            <w:right w:w="108" w:type="dxa"/>
          </w:tblCellMar>
        </w:tblPrEx>
        <w:trPr>
          <w:trHeight w:val="45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7054"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著录成果上载（满足档案管理系统对档案索引、查询、网络调阅和日常工作利用）</w:t>
            </w:r>
          </w:p>
        </w:tc>
        <w:tc>
          <w:tcPr>
            <w:tcW w:w="1759"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r>
      <w:tr>
        <w:tblPrEx>
          <w:tblLayout w:type="fixed"/>
          <w:tblCellMar>
            <w:top w:w="0" w:type="dxa"/>
            <w:left w:w="108" w:type="dxa"/>
            <w:bottom w:w="0" w:type="dxa"/>
            <w:right w:w="108" w:type="dxa"/>
          </w:tblCellMar>
        </w:tblPrEx>
        <w:trPr>
          <w:trHeight w:val="45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7054"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著录成果脱机管理（含介质）</w:t>
            </w:r>
          </w:p>
        </w:tc>
        <w:tc>
          <w:tcPr>
            <w:tcW w:w="1759"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r>
      <w:tr>
        <w:tblPrEx>
          <w:tblLayout w:type="fixed"/>
          <w:tblCellMar>
            <w:top w:w="0" w:type="dxa"/>
            <w:left w:w="108" w:type="dxa"/>
            <w:bottom w:w="0" w:type="dxa"/>
            <w:right w:w="108" w:type="dxa"/>
          </w:tblCellMar>
        </w:tblPrEx>
        <w:trPr>
          <w:trHeight w:val="454" w:hRule="atLeast"/>
          <w:jc w:val="center"/>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7054"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其他：提供项目所需各种硬件设备（电脑设备、扫描设备、监控设备、空调设备、打印机、</w:t>
            </w:r>
            <w:r>
              <w:rPr>
                <w:rFonts w:hint="eastAsia" w:ascii="宋体" w:hAnsi="宋体" w:cs="宋体"/>
                <w:color w:val="auto"/>
                <w:kern w:val="0"/>
                <w:szCs w:val="21"/>
                <w:highlight w:val="none"/>
                <w:lang w:eastAsia="zh-CN"/>
              </w:rPr>
              <w:t>移动</w:t>
            </w:r>
            <w:r>
              <w:rPr>
                <w:rFonts w:hint="eastAsia" w:ascii="宋体" w:hAnsi="宋体" w:cs="宋体"/>
                <w:color w:val="auto"/>
                <w:kern w:val="0"/>
                <w:szCs w:val="21"/>
                <w:highlight w:val="none"/>
              </w:rPr>
              <w:t>硬盘等）、档案数字化加工软件、网络、办公桌椅等加工场内配备，材料（纸张、夹子、胶水、白乳胶、文具等装订、裱补材料和工具等其它材料），各类损耗、人工、管理、售后服务、水电费等。</w:t>
            </w:r>
          </w:p>
        </w:tc>
        <w:tc>
          <w:tcPr>
            <w:tcW w:w="1759" w:type="dxa"/>
            <w:tcBorders>
              <w:top w:val="single" w:color="000000" w:sz="4" w:space="0"/>
              <w:left w:val="nil"/>
              <w:bottom w:val="single" w:color="000000" w:sz="4" w:space="0"/>
              <w:right w:val="single" w:color="000000" w:sz="4" w:space="0"/>
            </w:tcBorders>
            <w:shd w:val="clear" w:color="auto" w:fill="auto"/>
            <w:vAlign w:val="center"/>
          </w:tcPr>
          <w:p>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r>
    </w:tbl>
    <w:p>
      <w:pPr>
        <w:tabs>
          <w:tab w:val="left" w:pos="1004"/>
        </w:tabs>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 项目服务内容</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2.1对采购人要求整理、扫描的所有资料进行系统检查、清核、统计、登记和移交。</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按照国家和省档案管理部门和江门市住房和城乡建设档案馆有关规定以及采购人的整理、扫描要求和规范对需要扫描的城建档案资料和图纸资料进行搬迁、整理、扫描、图像处理、数据存储及合并、档案目录完善、校验、档案装订、数据挂接、备份（移动硬盘备份）、档案完整归还、数据检查、建卷、归还上架等工作。</w:t>
      </w:r>
    </w:p>
    <w:p>
      <w:pPr>
        <w:tabs>
          <w:tab w:val="left" w:pos="1004"/>
        </w:tabs>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3. 档案整理、数字化基本要求</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3.1档案接收</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（1）供应商指定1名固定人员负责整个项目的档案接收、保管、归还工作，在整个项目期间不得随意更换。</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（2）接收时间：双方约定。</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负责接收人员要在档案管理员带领下从库房搬运档案，档案的选择从采购人确定的清单（合同签订后由采购人向供应商提供档案数字化处理清单）中依次提取，对提取的档案要逐页清点，并办理档案借用手续，不得出现差错。</w:t>
      </w:r>
    </w:p>
    <w:p>
      <w:pPr>
        <w:spacing w:line="480" w:lineRule="exact"/>
        <w:ind w:firstLine="420" w:firstLineChars="200"/>
        <w:rPr>
          <w:rFonts w:ascii="宋体" w:hAnsi="宋体" w:cs="宋体"/>
          <w:color w:val="auto"/>
          <w:szCs w:val="21"/>
          <w:highlight w:val="none"/>
        </w:rPr>
      </w:pPr>
      <w:bookmarkStart w:id="0" w:name="OLE_LINK5"/>
      <w:r>
        <w:rPr>
          <w:rFonts w:hint="eastAsia" w:ascii="宋体" w:hAnsi="宋体" w:cs="宋体"/>
          <w:color w:val="auto"/>
          <w:szCs w:val="21"/>
          <w:highlight w:val="none"/>
        </w:rPr>
        <w:t>（4）接收无误后，需安排专门人员从库房搬迁至指定作业场地进行整理，不得出现差错。</w:t>
      </w:r>
    </w:p>
    <w:bookmarkEnd w:id="0"/>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3.2整理</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按照国家和省档案管理部门有关档案整理的标准，对城建档案进行分类组卷、编排档号、录入数据、打印目录和软卷皮、装订案卷、油印或打印档案盒、装订目录夹、入盒、以及入库后的上架和抄架号，并形成一套完整的电子数据和纸质检索工具等工作。</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（2）修裱：由于部分档案时间久远，纸张载体质量差，损毁较严重，整理过程中需对其进行修裱，包括喷潮、上浆、托裱、上墙、挣干、裁切等。</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（3）档案整理所需装具用品由采购人提供，包括案卷盒、案卷软封面、卷内备考表、科技目录夹、分类和卷内目录等。</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（4）供应商必须有4名以上专责人员负责城建档案整理工作。</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3.3目录著录</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（1）档案著录要按</w:t>
      </w:r>
      <w:r>
        <w:rPr>
          <w:rFonts w:hint="eastAsia" w:ascii="宋体" w:hAnsi="宋体" w:cs="宋体"/>
          <w:color w:val="auto"/>
          <w:szCs w:val="21"/>
          <w:highlight w:val="none"/>
          <w:lang w:eastAsia="zh-CN"/>
        </w:rPr>
        <w:t>住建</w:t>
      </w:r>
      <w:r>
        <w:rPr>
          <w:rFonts w:hint="eastAsia" w:ascii="宋体" w:hAnsi="宋体" w:cs="宋体"/>
          <w:color w:val="auto"/>
          <w:szCs w:val="21"/>
          <w:highlight w:val="none"/>
        </w:rPr>
        <w:t>部档案著录标准规范、江门市住房和城乡建设档案馆档案著录要求进行著录，档案著录分为项目级、案卷级和卷内级别（约50个字段）。</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（2）著录应符合江门市住建档案馆城建档案管理系统的标准要求。</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（3）数据格式选择</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目录建库应选择通用的数据格式。所选定的数据格式应能直接或间接通过XML文档进行数据交换。</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（4）档案著录</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按照《档案著录规则》(DA/T18</w:t>
      </w: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)的要求进行著录，建立档案级目录数据库。同时对数据库相应的目录进行修正，确保目录的准确率。</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（5）目录数据质量检查</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采用双机对著录自动校对的方式，对目录数据库的建库质量进行检查。核对著录项目是否完整、著录内容是否规范、准确，发现不合格的数据立即进行修改或重录。</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3.4目录数据修改</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（1）按照采购人的要求，对照校对好的纸质目录检查，发现错误或疏漏进行修正。</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（2）差错率不得超过1%。</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3.5原件拆卷</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（1）将档案原件的装订线拆除，排好顺序，不得出现任何漏缺页及顺序差错，更不能对档案原件有任何损坏。</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（2）记录每卷档案原件的总页数，注明每一页幅面的大小A3或A4，A2或A0，原件缺码的也要注明。</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（3）按要求把扫描件和非扫描件区分开。重份的文件、未解密的文件要剔除，有正式的文件扫描原稿。</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（4）填写扫描情况登记表。</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3.6档案扫描：</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（1）必须采用专业文件扫描仪。</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（2）对于纸质较差的档案原件，不允许采用连续进纸方式扫描，只能单张扫描。</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（3）文件的存储格式为TIFF多页文档或者PDF多页文档。 </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对档案页面字迹清晰、不带插图的档案，黑白页面采用黑白二值模式进行扫描，彩色页面采用彩色模式扫描；对档案页面字迹清晰度差或带有插图的档案，采用灰度或彩色模式扫描。分辨率一般为300dpi，对文字偏小、密集、清晰度较差等情况，分辨率为400dpi或更高。大幅面档案文件，如工程图纸、报纸等尺寸超过A3的，选用大幅面图像扫描仪（AO）。</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（5）扫描质量要求以视觉清晰为准，页面完整，不得漏页，每页文件名采用采购人规定命名，差错率不得超过1%。</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对出现偏斜的图像应进行纠偏处理，以达到视觉上基本不感觉偏斜为准。对图像页面中出现影响图像质量的杂质，如黑点、黑线、黑框、黑边等应进行去污处理，处理过程中应遵循在不影响可懂度的前提下展现档案原貌的原则。</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3.7数据存储及合并</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（1）对扫描后的每页图像文件进行检查（包括图像清晰度等）、存储。</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（2）出错率不得超过1%。</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w:t>
      </w:r>
      <w:r>
        <w:rPr>
          <w:rFonts w:hint="eastAsia" w:ascii="宋体" w:hAnsi="宋体" w:cs="宋体"/>
          <w:color w:val="auto"/>
          <w:szCs w:val="21"/>
          <w:highlight w:val="none"/>
          <w:lang w:eastAsia="zh-CN"/>
        </w:rPr>
        <w:t>硬盘备份</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（1）将扫描形成的图像文件全部</w:t>
      </w:r>
      <w:r>
        <w:rPr>
          <w:rFonts w:hint="eastAsia" w:ascii="宋体" w:hAnsi="宋体" w:cs="宋体"/>
          <w:color w:val="auto"/>
          <w:szCs w:val="21"/>
          <w:highlight w:val="none"/>
          <w:lang w:eastAsia="zh-CN"/>
        </w:rPr>
        <w:t>使用移动硬盘备份</w:t>
      </w:r>
      <w:r>
        <w:rPr>
          <w:rFonts w:hint="eastAsia" w:ascii="宋体" w:hAnsi="宋体" w:cs="宋体"/>
          <w:color w:val="auto"/>
          <w:szCs w:val="21"/>
          <w:highlight w:val="none"/>
        </w:rPr>
        <w:t>，并提供详细清单，不得有差错。</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备份硬盘</w:t>
      </w:r>
      <w:r>
        <w:rPr>
          <w:rFonts w:hint="eastAsia" w:ascii="宋体" w:hAnsi="宋体" w:cs="宋体"/>
          <w:color w:val="auto"/>
          <w:szCs w:val="21"/>
          <w:highlight w:val="none"/>
        </w:rPr>
        <w:t>由供应商提供。</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备份</w:t>
      </w:r>
      <w:r>
        <w:rPr>
          <w:rFonts w:hint="eastAsia" w:ascii="宋体" w:hAnsi="宋体" w:cs="宋体"/>
          <w:color w:val="auto"/>
          <w:szCs w:val="21"/>
          <w:highlight w:val="none"/>
        </w:rPr>
        <w:t>质量：</w:t>
      </w:r>
      <w:r>
        <w:rPr>
          <w:rFonts w:hint="eastAsia" w:ascii="宋体" w:hAnsi="宋体" w:cs="宋体"/>
          <w:color w:val="auto"/>
          <w:szCs w:val="21"/>
          <w:highlight w:val="none"/>
          <w:lang w:eastAsia="zh-CN"/>
        </w:rPr>
        <w:t>备份</w:t>
      </w:r>
      <w:r>
        <w:rPr>
          <w:rFonts w:hint="eastAsia" w:ascii="宋体" w:hAnsi="宋体" w:cs="宋体"/>
          <w:color w:val="auto"/>
          <w:szCs w:val="21"/>
          <w:highlight w:val="none"/>
        </w:rPr>
        <w:t>必须保证质量，要求</w:t>
      </w:r>
      <w:r>
        <w:rPr>
          <w:rFonts w:hint="eastAsia" w:ascii="宋体" w:hAnsi="宋体" w:cs="宋体"/>
          <w:color w:val="auto"/>
          <w:szCs w:val="21"/>
          <w:highlight w:val="none"/>
          <w:lang w:eastAsia="zh-CN"/>
        </w:rPr>
        <w:t>硬盘</w:t>
      </w:r>
      <w:r>
        <w:rPr>
          <w:rFonts w:hint="eastAsia" w:ascii="宋体" w:hAnsi="宋体" w:cs="宋体"/>
          <w:color w:val="auto"/>
          <w:szCs w:val="21"/>
          <w:highlight w:val="none"/>
        </w:rPr>
        <w:t>能在</w:t>
      </w:r>
      <w:r>
        <w:rPr>
          <w:rFonts w:hint="eastAsia" w:ascii="宋体" w:hAnsi="宋体" w:cs="宋体"/>
          <w:color w:val="auto"/>
          <w:szCs w:val="21"/>
          <w:highlight w:val="none"/>
          <w:lang w:eastAsia="zh-CN"/>
        </w:rPr>
        <w:t>计算机</w:t>
      </w:r>
      <w:r>
        <w:rPr>
          <w:rFonts w:hint="eastAsia" w:ascii="宋体" w:hAnsi="宋体" w:cs="宋体"/>
          <w:color w:val="auto"/>
          <w:szCs w:val="21"/>
          <w:highlight w:val="none"/>
        </w:rPr>
        <w:t>中正确读取，内容无差错（有任何差错必须重新</w:t>
      </w:r>
      <w:r>
        <w:rPr>
          <w:rFonts w:hint="eastAsia" w:ascii="宋体" w:hAnsi="宋体" w:cs="宋体"/>
          <w:color w:val="auto"/>
          <w:szCs w:val="21"/>
          <w:highlight w:val="none"/>
          <w:lang w:eastAsia="zh-CN"/>
        </w:rPr>
        <w:t>备份</w:t>
      </w:r>
      <w:r>
        <w:rPr>
          <w:rFonts w:hint="eastAsia" w:ascii="宋体" w:hAnsi="宋体" w:cs="宋体"/>
          <w:color w:val="auto"/>
          <w:szCs w:val="21"/>
          <w:highlight w:val="none"/>
        </w:rPr>
        <w:t>）。</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备份</w:t>
      </w:r>
      <w:r>
        <w:rPr>
          <w:rFonts w:hint="eastAsia" w:ascii="宋体" w:hAnsi="宋体" w:cs="宋体"/>
          <w:color w:val="auto"/>
          <w:szCs w:val="21"/>
          <w:highlight w:val="none"/>
        </w:rPr>
        <w:t>文件组织管理方式：完全按照档案管理的要求做好分级分项组织管理。</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3.9数据挂接</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（1）将扫描后的多页TIFF格式或者PDF格式的每份图像文件对照数据库原有的目录数据，进行批量挂接导入数据库，并将导入后的数据备份。 </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（2）每天必须及时进行数据挂接，以备采购人检查。</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（3）出错率不得超过1%。</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3.10数据检查</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（1）供应商必须安排专责人员对前面所有工作进行详细检查。</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（2）为保证工作质量和方便采购人掌握工作进度，供应商必须在每周一将上周处理完成的数据</w:t>
      </w:r>
      <w:r>
        <w:rPr>
          <w:rFonts w:hint="eastAsia" w:ascii="宋体" w:hAnsi="宋体" w:cs="宋体"/>
          <w:color w:val="auto"/>
          <w:szCs w:val="21"/>
          <w:highlight w:val="none"/>
          <w:lang w:eastAsia="zh-CN"/>
        </w:rPr>
        <w:t>用移动硬盘备份</w:t>
      </w:r>
      <w:r>
        <w:rPr>
          <w:rFonts w:hint="eastAsia" w:ascii="宋体" w:hAnsi="宋体" w:cs="宋体"/>
          <w:color w:val="auto"/>
          <w:szCs w:val="21"/>
          <w:highlight w:val="none"/>
        </w:rPr>
        <w:t>供采购人检查，采购人随机抽查或全部检查，抽查或检查中发现错误超过1%，采购人即将本批数据一次性退给供应商检查修改，同时不告之具体错误处，但必须书面告知错误超过规定要求。同一批数据退回3次或在整个项目实施过程中数据累积退回10次，采购人暂停供应商全部工作一周责令其整改，整改期间耽误的工作进度由供应商自行负责。</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3.11原件装订</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（1）装订前检查：检查档案数量是否齐全；档案目录是否清晰并与档案实体相符；检查盒内文档的各种编号与盒面各项是否相符；检查文件排列顺序是否正确，文件放置方向是否正确。</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（2）按照拆卷前的标准原样装订，必须保证恢复拆卷前的状态，不得有任何差错。</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3.12完整归还：负责档案归还的专责人员对要归还的档案必须逐页清点，办理好归还手续，不得有任何差错。</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3.13废纸抽离：数字化处理过程中产生的废纸必须存放在指定的纸箱内，每星期集中清理一次。清理时要安排专责人员对纸张进行仔细检查，确保其中没有夹带任何档案文件后才能清出工作场地。</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3.14数字化加工场地工作制度要求</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所有工作人员（以下说明的“工作人员”均指管理人员和工作人员）必须严格遵守《中华人民共和国保守国家秘密法》《保密守则》以及《中华人民共和国档案法》等有关规定，不得以任何方式对外泄露档案信息的内容。</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（2）所有工作人员需做好档案信息安全保密工作，在开始本项目施工前必须再接受一次由采购人组织的档案保密教育，并向采购人提供书面档案保密承诺。</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（3）所有工作人员必须严格遵守保密制度，并严格执行采购人规定的工作时间。</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（4）由项目经理统一安排每天的工作，施工人员保质、按量完成，不允许加班。</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（5）档案原件处理完成后必须立即原样归还，不得损坏和丢失档案原件；不得私自复制任何档案文件，不得将复制的档案文件偷带出工作场所。</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（6）工作人员应保持工作环境整洁、卫生。必须自备无袋工作服工作，不得携挂包、钱包、磁盘、纸张、手机等任何物品进入工作间，更不得将工作间的任何物品带出工作间外。</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（7）在加工场地实行封闭管理，确保加工现场档案的安全。</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（8）挑选业务熟练、相关项目经验丰富的人员，尽量不更换工作人员，如确实需要更换的，提前一周书面通知采购人，征得书面同意后才能换人。</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（9）在全部工作中派遣项目实施经理一名，常驻实施地点，负责管理和协调各项工作。</w:t>
      </w:r>
    </w:p>
    <w:p>
      <w:pPr>
        <w:tabs>
          <w:tab w:val="left" w:pos="1004"/>
        </w:tabs>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4. 档案整理、数字化处理技术要求</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4.1档案整理步骤：档案接收出入库及其装运→分类组卷→编排档号→录入数据→打印目录和软卷皮→部分已破损的档案修裱→油印或打印档案盒→装订目录夹→送扫描处理→（归还后）入盒→入库上架</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4.2数据化步骤：档案接收→整理核查→档案扫描→图像处理→信息著录→数据存储及合并→</w:t>
      </w:r>
      <w:r>
        <w:rPr>
          <w:rFonts w:hint="eastAsia" w:ascii="宋体" w:hAnsi="宋体" w:cs="宋体"/>
          <w:color w:val="auto"/>
          <w:szCs w:val="21"/>
          <w:highlight w:val="none"/>
          <w:lang w:eastAsia="zh-CN"/>
        </w:rPr>
        <w:t>硬盘备份</w:t>
      </w:r>
      <w:r>
        <w:rPr>
          <w:rFonts w:hint="eastAsia" w:ascii="宋体" w:hAnsi="宋体" w:cs="宋体"/>
          <w:color w:val="auto"/>
          <w:szCs w:val="21"/>
          <w:highlight w:val="none"/>
        </w:rPr>
        <w:t>→数据挂接（关联）→原件装订→归还整理组入库上架→数据检查。</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4.3档案扫描必须采用A3幅面以内的高速、平板扫描仪，如尺寸超过A3的，可选用大幅面图像扫描仪（AO）。</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4.4对于原件纸质较差的档案，不允许采用连续进纸方式扫描，只能单张高速平板扫描。</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4.5文件的存储格式为TIFF多页文档或者PDF多页文档格式。</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4.6对档案页面字迹清晰、不带插图的档案，黑白页面采用黑白二值模式进行扫描，彩色页面采用彩色模式扫描；对档案页面字迹清晰度差或带有插图的档案，采用灰度或彩色模式扫描。分辨率一般为300dpi，对文字偏小、密集、清晰度较差等情况，分辨率为400dpi或更高。</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4.7扫描质量要求以视觉清晰为准，页面完整，不得漏页，每页文件名按照江门市住房和城乡建设档案馆规定的文件名，差错率不得超过1%。</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4.8对扫描后的每页图像文件进行检查、存储。</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4.9在保留原扫描的每页图像文件的同时，利用软件工具把同一份纸质文件的多个图像文件合并为一个多页TIFF格式文件或者多页PDF格式文件，文件名采用江门市住房和城乡建设档案馆规定格式进行命名。</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4.10将扫描形成的图像文件全部</w:t>
      </w:r>
      <w:r>
        <w:rPr>
          <w:rFonts w:hint="eastAsia" w:ascii="宋体" w:hAnsi="宋体" w:cs="宋体"/>
          <w:color w:val="auto"/>
          <w:szCs w:val="21"/>
          <w:highlight w:val="none"/>
          <w:lang w:eastAsia="zh-CN"/>
        </w:rPr>
        <w:t>备份</w:t>
      </w:r>
      <w:r>
        <w:rPr>
          <w:rFonts w:hint="eastAsia" w:ascii="宋体" w:hAnsi="宋体" w:cs="宋体"/>
          <w:color w:val="auto"/>
          <w:szCs w:val="21"/>
          <w:highlight w:val="none"/>
        </w:rPr>
        <w:t>成</w:t>
      </w:r>
      <w:r>
        <w:rPr>
          <w:rFonts w:hint="eastAsia" w:ascii="宋体" w:hAnsi="宋体" w:cs="宋体"/>
          <w:color w:val="auto"/>
          <w:szCs w:val="21"/>
          <w:highlight w:val="none"/>
          <w:lang w:eastAsia="zh-CN"/>
        </w:rPr>
        <w:t>移动硬盘两套</w:t>
      </w:r>
      <w:r>
        <w:rPr>
          <w:rFonts w:hint="eastAsia" w:ascii="宋体" w:hAnsi="宋体" w:cs="宋体"/>
          <w:color w:val="auto"/>
          <w:szCs w:val="21"/>
          <w:highlight w:val="none"/>
        </w:rPr>
        <w:t>，并提供详细清单，不得有差错。</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w:t>
      </w:r>
      <w:r>
        <w:rPr>
          <w:rFonts w:hint="eastAsia" w:ascii="宋体" w:hAnsi="宋体" w:cs="宋体"/>
          <w:color w:val="auto"/>
          <w:szCs w:val="21"/>
          <w:highlight w:val="none"/>
          <w:lang w:eastAsia="zh-CN"/>
        </w:rPr>
        <w:t>备份移动硬盘</w:t>
      </w:r>
      <w:r>
        <w:rPr>
          <w:rFonts w:hint="eastAsia" w:ascii="宋体" w:hAnsi="宋体" w:cs="宋体"/>
          <w:color w:val="auto"/>
          <w:szCs w:val="21"/>
          <w:highlight w:val="none"/>
        </w:rPr>
        <w:t>要求是独立包装的高质量</w:t>
      </w:r>
      <w:r>
        <w:rPr>
          <w:rFonts w:hint="eastAsia" w:ascii="宋体" w:hAnsi="宋体" w:cs="宋体"/>
          <w:color w:val="auto"/>
          <w:szCs w:val="21"/>
          <w:highlight w:val="none"/>
          <w:lang w:eastAsia="zh-CN"/>
        </w:rPr>
        <w:t>移动硬盘</w:t>
      </w:r>
      <w:r>
        <w:rPr>
          <w:rFonts w:hint="eastAsia" w:ascii="宋体" w:hAnsi="宋体" w:cs="宋体"/>
          <w:color w:val="auto"/>
          <w:szCs w:val="21"/>
          <w:highlight w:val="none"/>
        </w:rPr>
        <w:t>。</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4.12将扫描合并后的（多页TIFF格式或者多页PDF格式）每份图像文件对照数据库原有的目录数据，批量挂接并导入数据库。</w:t>
      </w:r>
    </w:p>
    <w:p>
      <w:pPr>
        <w:tabs>
          <w:tab w:val="left" w:pos="1004"/>
        </w:tabs>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5. 项目要求</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5.1工作场地：本项目采购人提供工作场地在档案存放地点，20-30平方米，</w:t>
      </w:r>
      <w:bookmarkStart w:id="1" w:name="OLE_LINK6"/>
      <w:r>
        <w:rPr>
          <w:rFonts w:hint="eastAsia" w:ascii="宋体" w:hAnsi="宋体" w:cs="宋体"/>
          <w:color w:val="auto"/>
          <w:szCs w:val="21"/>
          <w:highlight w:val="none"/>
        </w:rPr>
        <w:t>供应商要在采购人指定的工作场地进行本项目（场地不够，需经采购人书面同意且供应商保证档案安全及利于采购人监管情况下自行租赁工作场地）。</w:t>
      </w:r>
      <w:bookmarkEnd w:id="1"/>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5.2设备</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（1）采购人只负责提供场地。</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（2）其它工作设备、工具耗材（包括计算机、扫描仪、打印机、</w:t>
      </w:r>
      <w:r>
        <w:rPr>
          <w:rFonts w:hint="eastAsia" w:ascii="宋体" w:hAnsi="宋体" w:cs="宋体"/>
          <w:color w:val="auto"/>
          <w:szCs w:val="21"/>
          <w:highlight w:val="none"/>
          <w:lang w:eastAsia="zh-CN"/>
        </w:rPr>
        <w:t>备份硬盘</w:t>
      </w:r>
      <w:r>
        <w:rPr>
          <w:rFonts w:hint="eastAsia" w:ascii="宋体" w:hAnsi="宋体" w:cs="宋体"/>
          <w:color w:val="auto"/>
          <w:szCs w:val="21"/>
          <w:highlight w:val="none"/>
        </w:rPr>
        <w:t>、档案存储、档案装具、用品耗材、工作用具等）全部由供应商自行配备，并且要符合下面所列的要求：初始提供本次项目的电脑和扫描仪要求性能完好，且设备只能作为本项目专用，不得将设备挪作他用或随意把不属本项目的资料带进工作场所进行操作。</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（3）供应商应当按照采购人的要求对加工场地进行消防、安防、监控、网络方面设计、安装和应用，需符合达到档案在实施过程中的安全保密等要求，对于场地方面的设计方案需要在响应文件中完整呈现。</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所有设备必须放置在采购人指定的工作地点。为了档案的安全，档案实施过程中所有设备不得中途搬出工作场地，待项目完成后所有设备必须经采购人检查后供应商自行撤离相关设备。另监控设备的数据硬盘须移交采购人。</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若在项目实施过程中，有设备损坏，经检修无法使用的，供应商应向采购人书面告知情况，并经采购人书面同意后搬入备用设备。损坏设备待项目完成后经采购人检查后，供应商在采购人的监督下自行撤离。</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（4）供应商响应时需承诺为本项目提供电脑不少于4台,打印机不少于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台，装订机不少于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台，大幅面彩色工程图纸扫描仪不少于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台，A3高速扫描仪不少于1台，A3平板扫描仪不少于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5.3人员：供应商须有稳定专业的档案数字化扫描加工队伍，有从事档案整理和数字化加工服务经验。</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（1）供应商需为该项目组织不少于</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人的服务团队，于1年内完成项目全部工作。</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（2）供应商提供的服务团队成员名单必须为项目实际实施的人员，变动不得超过20%，否则采购人有权终止与供应商的合作并追究相关责任。</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（3）配备的驻场人员情况应在项目正式进场时向采购人备案，包括姓名、学历、职称、项目职责安排等情况，并附上相关证明文件复印件；</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（4）供应商须在合同签订后10日内完成人员配备以及岗前培训。若供应商未能配齐符合采购人需求的工作人员，则视为供应商主动违约，采购人有权终止合同。</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（5）经采购人书面同意，供应商方可在保证完成任务量的情况下适度调配人员。</w:t>
      </w:r>
    </w:p>
    <w:p>
      <w:pPr>
        <w:tabs>
          <w:tab w:val="left" w:pos="1004"/>
        </w:tabs>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四、商务要求</w:t>
      </w:r>
    </w:p>
    <w:p>
      <w:pPr>
        <w:spacing w:line="48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1.报价要求：供应商的响应报价须以人民币为单位，应包含人工成本、投入的设备成本、材料成本、管理费、利润、税金、费用等完成本项目的一切费用的总和。</w:t>
      </w:r>
      <w:r>
        <w:rPr>
          <w:rFonts w:hint="eastAsia" w:ascii="宋体" w:hAnsi="宋体" w:cs="宋体"/>
          <w:b/>
          <w:color w:val="auto"/>
          <w:szCs w:val="21"/>
          <w:highlight w:val="none"/>
        </w:rPr>
        <w:t>项目总价为人民币</w:t>
      </w:r>
      <w:r>
        <w:rPr>
          <w:rFonts w:hint="eastAsia" w:ascii="宋体" w:hAnsi="宋体" w:cs="宋体"/>
          <w:b/>
          <w:color w:val="auto"/>
          <w:szCs w:val="21"/>
          <w:highlight w:val="none"/>
          <w:lang w:eastAsia="zh-CN"/>
        </w:rPr>
        <w:t>18</w:t>
      </w:r>
      <w:r>
        <w:rPr>
          <w:rFonts w:hint="eastAsia" w:ascii="宋体" w:hAnsi="宋体" w:cs="宋体"/>
          <w:b/>
          <w:color w:val="auto"/>
          <w:szCs w:val="21"/>
          <w:highlight w:val="none"/>
        </w:rPr>
        <w:t>万元（含税价），最高限价为人民币</w:t>
      </w:r>
      <w:r>
        <w:rPr>
          <w:rFonts w:hint="eastAsia" w:ascii="宋体" w:hAnsi="宋体" w:cs="宋体"/>
          <w:b/>
          <w:color w:val="auto"/>
          <w:szCs w:val="21"/>
          <w:highlight w:val="none"/>
          <w:lang w:eastAsia="zh-CN"/>
        </w:rPr>
        <w:t>18</w:t>
      </w:r>
      <w:r>
        <w:rPr>
          <w:rFonts w:hint="eastAsia" w:ascii="宋体" w:hAnsi="宋体" w:cs="宋体"/>
          <w:b/>
          <w:color w:val="auto"/>
          <w:szCs w:val="21"/>
          <w:highlight w:val="none"/>
        </w:rPr>
        <w:t>万元（含税价），</w:t>
      </w:r>
      <w:r>
        <w:rPr>
          <w:rFonts w:hint="eastAsia" w:ascii="宋体" w:hAnsi="宋体" w:cs="宋体"/>
          <w:b/>
          <w:bCs/>
          <w:color w:val="auto"/>
          <w:szCs w:val="21"/>
          <w:highlight w:val="none"/>
          <w:lang w:eastAsia="zh-CN"/>
        </w:rPr>
        <w:t>按上述预估数量结算，结算价若低于</w:t>
      </w:r>
      <w:r>
        <w:rPr>
          <w:rFonts w:hint="eastAsia" w:ascii="宋体" w:hAnsi="宋体" w:cs="宋体"/>
          <w:b/>
          <w:bCs/>
          <w:color w:val="auto"/>
          <w:szCs w:val="21"/>
          <w:highlight w:val="none"/>
          <w:lang w:val="en-US" w:eastAsia="zh-CN"/>
        </w:rPr>
        <w:t>18万元，差额资金全部用于档案资料数字化，增加的服务内容，按供应商分项报价中的单价计算</w:t>
      </w:r>
      <w:r>
        <w:rPr>
          <w:rFonts w:hint="eastAsia" w:ascii="宋体" w:hAnsi="宋体" w:cs="宋体"/>
          <w:b/>
          <w:bCs/>
          <w:color w:val="auto"/>
          <w:szCs w:val="21"/>
          <w:highlight w:val="none"/>
        </w:rPr>
        <w:t>。</w:t>
      </w:r>
    </w:p>
    <w:p>
      <w:pPr>
        <w:spacing w:line="48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rPr>
        <w:t>2.完工期：自合同生效之日起，服务期一年。</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3.质保期：验收合格之日起3个月。</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4.项目地点：江门市住房和城乡建设档案馆（以合同为准）。</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5.验收要求：采购人应当自供应商履行完合同义务之日起10个工作日内组织验收，按国家、地方或行业（排列在前者优先）现行相关验收规范和评定标准执行。</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档案资料整理完毕、入库、上架，档案数字化扫描结束后，采购人对档案资料整理、数字化扫描的质量进行检查验收，如果发现数量不足或有质量、技术等问题，供应商应负责按照采购人的要求采取补足或更换等处理措施，并承担由此发生的一切损失和费用。验收合格后，签署《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年城建档案资料数字化加工服务项目验收报告》。</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6.售后服务</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6.1成果维护期自采购人在成果质量验收单上签字之日起计算，维护费用计入总价。</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6.2维护期内，供应商负责对其提供的成果维护，不再收取任何费用，但不可抗力（如火灾、雷击等）造成的故障除外。</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6.3供应商对采购人的服务通知应在1小时内电话响应，一般问题应在24小时内解决。遇到重大技术问题也应在3个工作日内提出解决办法、措施或预案，并在5个工作日内彻底解决故障。</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6.4所有成果维护服务方式均为供应商上门服务，即由供应商派员到成果使用现场维护，由此产生的一切费用均由供应商承担。</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7.付款： </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7.1城建档案资料数字化加工服务项目费用分三期进行，其中第一期在</w:t>
      </w:r>
      <w:r>
        <w:rPr>
          <w:rFonts w:ascii="宋体" w:hAnsi="宋体" w:cs="宋体"/>
          <w:color w:val="auto"/>
          <w:szCs w:val="21"/>
          <w:highlight w:val="none"/>
        </w:rPr>
        <w:t>202</w:t>
      </w:r>
      <w:r>
        <w:rPr>
          <w:rFonts w:hint="eastAsia" w:ascii="宋体" w:hAnsi="宋体" w:cs="宋体"/>
          <w:color w:val="auto"/>
          <w:szCs w:val="21"/>
          <w:highlight w:val="none"/>
          <w:lang w:val="en-US" w:eastAsia="zh-CN"/>
        </w:rPr>
        <w:t>4</w:t>
      </w:r>
      <w:r>
        <w:rPr>
          <w:rFonts w:ascii="宋体" w:hAnsi="宋体" w:cs="宋体"/>
          <w:color w:val="auto"/>
          <w:szCs w:val="21"/>
          <w:highlight w:val="none"/>
        </w:rPr>
        <w:t>年度支付，第二、第三期在202</w:t>
      </w:r>
      <w:r>
        <w:rPr>
          <w:rFonts w:hint="eastAsia" w:ascii="宋体" w:hAnsi="宋体" w:cs="宋体"/>
          <w:color w:val="auto"/>
          <w:szCs w:val="21"/>
          <w:highlight w:val="none"/>
          <w:lang w:val="en-US" w:eastAsia="zh-CN"/>
        </w:rPr>
        <w:t>5</w:t>
      </w:r>
      <w:r>
        <w:rPr>
          <w:rFonts w:ascii="宋体" w:hAnsi="宋体" w:cs="宋体"/>
          <w:color w:val="auto"/>
          <w:szCs w:val="21"/>
          <w:highlight w:val="none"/>
        </w:rPr>
        <w:t>年度支付。</w:t>
      </w:r>
      <w:r>
        <w:rPr>
          <w:rFonts w:hint="eastAsia" w:ascii="宋体" w:hAnsi="宋体" w:cs="宋体"/>
          <w:color w:val="auto"/>
          <w:szCs w:val="21"/>
          <w:highlight w:val="none"/>
        </w:rPr>
        <w:t>各期款项情况如下：</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第一期：项目合同签订后完成工作量</w:t>
      </w:r>
      <w:r>
        <w:rPr>
          <w:rFonts w:hint="eastAsia" w:ascii="宋体" w:hAnsi="宋体" w:cs="宋体"/>
          <w:color w:val="auto"/>
          <w:szCs w:val="21"/>
          <w:highlight w:val="none"/>
          <w:lang w:eastAsia="zh-CN"/>
        </w:rPr>
        <w:t>的</w:t>
      </w:r>
      <w:r>
        <w:rPr>
          <w:rFonts w:hint="eastAsia" w:ascii="宋体" w:hAnsi="宋体" w:cs="宋体"/>
          <w:color w:val="auto"/>
          <w:szCs w:val="21"/>
          <w:highlight w:val="none"/>
        </w:rPr>
        <w:t>35%，提交一次成果资料，成果资料经验收小组检查验收后十五个工作日内采购人向供应商支付金额18850元；</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第二期：项目合同签订后完成工作量</w:t>
      </w:r>
      <w:r>
        <w:rPr>
          <w:rFonts w:hint="eastAsia" w:ascii="宋体" w:hAnsi="宋体" w:cs="宋体"/>
          <w:color w:val="auto"/>
          <w:szCs w:val="21"/>
          <w:highlight w:val="none"/>
          <w:lang w:eastAsia="zh-CN"/>
        </w:rPr>
        <w:t>的</w:t>
      </w:r>
      <w:r>
        <w:rPr>
          <w:rFonts w:hint="eastAsia" w:ascii="宋体" w:hAnsi="宋体" w:cs="宋体"/>
          <w:color w:val="auto"/>
          <w:szCs w:val="21"/>
          <w:highlight w:val="none"/>
        </w:rPr>
        <w:t>80%</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提交一次成果资料，成果资料经验收小组检查验收后</w:t>
      </w:r>
      <w:r>
        <w:rPr>
          <w:rFonts w:hint="eastAsia" w:ascii="宋体" w:hAnsi="宋体" w:cs="宋体"/>
          <w:color w:val="auto"/>
          <w:szCs w:val="21"/>
          <w:highlight w:val="none"/>
          <w:lang w:eastAsia="zh-CN"/>
        </w:rPr>
        <w:t>，</w:t>
      </w: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于</w:t>
      </w:r>
      <w:r>
        <w:rPr>
          <w:rFonts w:hint="eastAsia" w:ascii="宋体" w:hAnsi="宋体" w:cs="宋体"/>
          <w:color w:val="auto"/>
          <w:szCs w:val="21"/>
          <w:highlight w:val="none"/>
          <w:lang w:val="en-US" w:eastAsia="zh-CN"/>
        </w:rPr>
        <w:t>2025年度内</w:t>
      </w:r>
      <w:r>
        <w:rPr>
          <w:rFonts w:hint="eastAsia" w:ascii="宋体" w:hAnsi="宋体" w:cs="宋体"/>
          <w:color w:val="auto"/>
          <w:szCs w:val="21"/>
          <w:highlight w:val="none"/>
        </w:rPr>
        <w:t>向供应商支付合同金额的</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w:t>
      </w:r>
    </w:p>
    <w:p>
      <w:pPr>
        <w:spacing w:line="4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第三期：项目全部结束经验收小组检查验收后，质保期满（三个月）后采购人向供应商支付剩余合同余款。</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7.2付款方式：采用支票、银行转账、银行汇付（含电汇）等形式。</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每笔款项支付时，供应商同时向采购人提供相应金额的增值税普通发票，且收款方、出具发票方、均必须与服务方合同名称一致，否则采购人有权拒绝付款。供应商不能按时提供相应金额发票的，采购人的支付时间相应顺延。</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8.采购合同</w:t>
      </w:r>
    </w:p>
    <w:p>
      <w:pPr>
        <w:spacing w:line="480" w:lineRule="exact"/>
        <w:ind w:firstLine="444" w:firstLineChars="200"/>
        <w:rPr>
          <w:rFonts w:ascii="宋体" w:hAnsi="宋体" w:cs="宋体"/>
          <w:color w:val="auto"/>
          <w:szCs w:val="21"/>
          <w:highlight w:val="none"/>
        </w:rPr>
      </w:pPr>
      <w:r>
        <w:rPr>
          <w:rFonts w:hint="eastAsia" w:ascii="宋体" w:hAnsi="宋体" w:cs="宋体"/>
          <w:color w:val="auto"/>
          <w:spacing w:val="6"/>
          <w:szCs w:val="21"/>
          <w:highlight w:val="none"/>
        </w:rPr>
        <w:t>在综合评定后，</w:t>
      </w:r>
      <w:r>
        <w:rPr>
          <w:rFonts w:hint="eastAsia" w:ascii="宋体" w:hAnsi="宋体" w:cs="宋体"/>
          <w:color w:val="auto"/>
          <w:szCs w:val="21"/>
          <w:highlight w:val="none"/>
        </w:rPr>
        <w:t>采购人</w:t>
      </w:r>
      <w:r>
        <w:rPr>
          <w:rFonts w:hint="eastAsia" w:ascii="宋体" w:hAnsi="宋体" w:cs="宋体"/>
          <w:color w:val="auto"/>
          <w:spacing w:val="6"/>
          <w:szCs w:val="21"/>
          <w:highlight w:val="none"/>
        </w:rPr>
        <w:t>与</w:t>
      </w:r>
      <w:r>
        <w:rPr>
          <w:rFonts w:hint="eastAsia" w:ascii="宋体" w:hAnsi="宋体" w:cs="宋体"/>
          <w:color w:val="auto"/>
          <w:szCs w:val="21"/>
          <w:highlight w:val="none"/>
        </w:rPr>
        <w:t>确定供应商在综合评定之日起</w:t>
      </w:r>
      <w:r>
        <w:rPr>
          <w:rFonts w:hint="eastAsia" w:ascii="宋体" w:hAnsi="宋体" w:cs="宋体"/>
          <w:color w:val="auto"/>
          <w:spacing w:val="6"/>
          <w:szCs w:val="21"/>
          <w:highlight w:val="none"/>
        </w:rPr>
        <w:t>30日内</w:t>
      </w:r>
      <w:r>
        <w:rPr>
          <w:rFonts w:hint="eastAsia" w:ascii="宋体" w:hAnsi="宋体" w:cs="宋体"/>
          <w:color w:val="auto"/>
          <w:szCs w:val="21"/>
          <w:highlight w:val="none"/>
        </w:rPr>
        <w:t>签订采购合同。</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9.其它要求：</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9.1以上档案数量为估算值，供参考，最终以实际发生数量为准。</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9.2供应商分项报价须含一切所需耗材、项目验收的费用及正式完税发票。</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9.3档案整理及数字化所需工作设备、工具耗材（包括计算机、扫描仪、打印机、</w:t>
      </w:r>
      <w:r>
        <w:rPr>
          <w:rFonts w:hint="eastAsia" w:ascii="宋体" w:hAnsi="宋体" w:cs="宋体"/>
          <w:color w:val="auto"/>
          <w:szCs w:val="21"/>
          <w:highlight w:val="none"/>
          <w:lang w:eastAsia="zh-CN"/>
        </w:rPr>
        <w:t>备份硬盘</w:t>
      </w:r>
      <w:r>
        <w:rPr>
          <w:rFonts w:hint="eastAsia" w:ascii="宋体" w:hAnsi="宋体" w:cs="宋体"/>
          <w:color w:val="auto"/>
          <w:szCs w:val="21"/>
          <w:highlight w:val="none"/>
        </w:rPr>
        <w:t>、工作用具等）价格包含在内，不再另行计价。</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9.4供应商所提供的耗材物品应是全新的和未使用过的，并符合国家有关制造标准和环保要求。</w:t>
      </w:r>
    </w:p>
    <w:p>
      <w:pPr>
        <w:keepNext/>
        <w:keepLines/>
        <w:widowControl/>
        <w:autoSpaceDE w:val="0"/>
        <w:autoSpaceDN w:val="0"/>
        <w:adjustRightInd w:val="0"/>
        <w:spacing w:before="50" w:line="480" w:lineRule="exact"/>
        <w:ind w:firstLine="422" w:firstLineChars="200"/>
        <w:jc w:val="left"/>
        <w:outlineLvl w:val="2"/>
        <w:rPr>
          <w:rFonts w:ascii="宋体" w:hAnsi="宋体"/>
          <w:b/>
          <w:color w:val="auto"/>
          <w:kern w:val="0"/>
          <w:szCs w:val="21"/>
          <w:highlight w:val="none"/>
        </w:rPr>
      </w:pPr>
      <w:bookmarkStart w:id="2" w:name="_Toc110953840"/>
      <w:bookmarkStart w:id="3" w:name="_Toc99635321"/>
      <w:bookmarkStart w:id="4" w:name="_Toc6882678"/>
      <w:bookmarkStart w:id="5" w:name="_Toc507407362"/>
      <w:bookmarkStart w:id="6" w:name="_Toc6968690"/>
      <w:bookmarkStart w:id="7" w:name="_Toc102277759"/>
      <w:bookmarkStart w:id="8" w:name="_Toc466786437"/>
      <w:r>
        <w:rPr>
          <w:rFonts w:ascii="宋体" w:hAnsi="宋体"/>
          <w:b/>
          <w:color w:val="auto"/>
          <w:kern w:val="0"/>
          <w:szCs w:val="21"/>
          <w:highlight w:val="none"/>
        </w:rPr>
        <w:t>10.响应文件的内容</w:t>
      </w:r>
      <w:bookmarkEnd w:id="2"/>
      <w:bookmarkEnd w:id="3"/>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10.1响应文件由以下部分组成：</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（1）封面；</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（2）目录；</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（3）响应书；</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（4）响应报价一览表；</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（5）响应价格明细表；</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（6）供应商情况简介；</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（7）项目整体实施方案；</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（8）拟投入本项目人员情况一览表；</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（9）同类项目业绩一览表；</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（10）承诺函；</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（11）关于资格的声明函；</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（12）授权委托书（或法定代表人/负责人证书）；</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（13）相关证明文件；</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（14）其他内容。</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10.2响应报价</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（1）供应商的响应报价须以人民币为单位，应包含人工成本、投入的设备成本、材料成本、管理费、利润、税金、费用等完成本项目的一切费用的总和。</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（2）供应商所报的响应价格在合同执行过程中是固定不变的，不得以任何理由予以变更。</w:t>
      </w:r>
    </w:p>
    <w:p>
      <w:pPr>
        <w:spacing w:before="50" w:line="480" w:lineRule="exact"/>
        <w:ind w:firstLine="420" w:firstLineChars="200"/>
        <w:rPr>
          <w:rFonts w:ascii="宋体" w:hAnsi="宋体" w:cs="宋体"/>
          <w:color w:val="auto"/>
          <w:szCs w:val="21"/>
          <w:highlight w:val="none"/>
        </w:rPr>
      </w:pPr>
      <w:bookmarkStart w:id="9" w:name="_Toc508597942"/>
      <w:r>
        <w:rPr>
          <w:rFonts w:hint="eastAsia" w:ascii="宋体" w:hAnsi="宋体" w:cs="宋体"/>
          <w:color w:val="auto"/>
          <w:szCs w:val="21"/>
          <w:highlight w:val="none"/>
        </w:rPr>
        <w:t>（3）供应商只能就单个项目提供唯一的方案和报价，不接受选择性的方案和报价。</w:t>
      </w:r>
      <w:bookmarkEnd w:id="9"/>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（4）供应商的响应报价不得高于本项目的最高限价（人民币</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rPr>
        <w:t>万元，含税）。</w:t>
      </w:r>
    </w:p>
    <w:p>
      <w:pPr>
        <w:keepNext/>
        <w:keepLines/>
        <w:widowControl/>
        <w:autoSpaceDE w:val="0"/>
        <w:autoSpaceDN w:val="0"/>
        <w:adjustRightInd w:val="0"/>
        <w:spacing w:before="50" w:line="480" w:lineRule="exact"/>
        <w:ind w:firstLine="422" w:firstLineChars="200"/>
        <w:jc w:val="left"/>
        <w:outlineLvl w:val="2"/>
        <w:rPr>
          <w:rFonts w:ascii="宋体" w:hAnsi="宋体"/>
          <w:b/>
          <w:color w:val="auto"/>
          <w:kern w:val="0"/>
          <w:szCs w:val="21"/>
          <w:highlight w:val="none"/>
        </w:rPr>
      </w:pPr>
      <w:bookmarkStart w:id="10" w:name="_Toc110953841"/>
      <w:bookmarkStart w:id="11" w:name="_Toc99635322"/>
      <w:r>
        <w:rPr>
          <w:rFonts w:ascii="宋体" w:hAnsi="宋体"/>
          <w:b/>
          <w:color w:val="auto"/>
          <w:kern w:val="0"/>
          <w:szCs w:val="21"/>
          <w:highlight w:val="none"/>
        </w:rPr>
        <w:t>11.响应文件格式</w:t>
      </w:r>
      <w:bookmarkEnd w:id="10"/>
      <w:bookmarkEnd w:id="11"/>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供应商应将响应文件装订成册，并填写“响应文件目录”。上述文件及表格为供应商必须提交的文件，各供应商可以根据实际情况增加内容，但不得擅自减少有关内容。</w:t>
      </w:r>
      <w:bookmarkEnd w:id="4"/>
      <w:bookmarkEnd w:id="5"/>
      <w:bookmarkEnd w:id="6"/>
      <w:bookmarkEnd w:id="7"/>
      <w:bookmarkEnd w:id="8"/>
      <w:bookmarkStart w:id="12" w:name="_Toc110953843"/>
      <w:bookmarkStart w:id="13" w:name="_Toc99635326"/>
      <w:bookmarkStart w:id="14" w:name="_Toc6882679"/>
      <w:bookmarkStart w:id="15" w:name="_Toc6968691"/>
      <w:bookmarkStart w:id="16" w:name="_Toc102277760"/>
      <w:bookmarkStart w:id="17" w:name="_Toc466786438"/>
      <w:bookmarkStart w:id="18" w:name="_Toc507407363"/>
    </w:p>
    <w:p>
      <w:pPr>
        <w:spacing w:before="50" w:line="48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12.响应文件的递交</w:t>
      </w:r>
      <w:bookmarkEnd w:id="12"/>
      <w:bookmarkEnd w:id="13"/>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12.1供应商应将响应文件用信封密封，并标明供应商的名称。</w:t>
      </w:r>
      <w:bookmarkStart w:id="121" w:name="_GoBack"/>
      <w:bookmarkEnd w:id="121"/>
    </w:p>
    <w:p>
      <w:pPr>
        <w:spacing w:line="4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12.2每一份响应文件的密封袋两头封口上均需贴封条，封条上加盖骑缝章（公章）。</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12.3供应商应按上述规定进行密封和标记后，将响应文件按照招标文件中规定的时间和地点，由专人送至采购人。</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12.4对未按上述规定进行密封、标记和递交的响应文件，以及不依时间递交、误投、破损、封装不合格或提前拆封的响应文件，采购人不予受理。</w:t>
      </w:r>
    </w:p>
    <w:p>
      <w:pPr>
        <w:keepNext/>
        <w:keepLines/>
        <w:widowControl/>
        <w:autoSpaceDE w:val="0"/>
        <w:autoSpaceDN w:val="0"/>
        <w:adjustRightInd w:val="0"/>
        <w:spacing w:before="50" w:line="480" w:lineRule="exact"/>
        <w:ind w:firstLine="422" w:firstLineChars="200"/>
        <w:jc w:val="left"/>
        <w:outlineLvl w:val="2"/>
        <w:rPr>
          <w:rFonts w:ascii="宋体" w:hAnsi="宋体"/>
          <w:b/>
          <w:color w:val="auto"/>
          <w:kern w:val="0"/>
          <w:szCs w:val="21"/>
          <w:highlight w:val="none"/>
        </w:rPr>
      </w:pPr>
      <w:bookmarkStart w:id="19" w:name="_Toc110953845"/>
      <w:bookmarkStart w:id="20" w:name="_Toc99635328"/>
      <w:r>
        <w:rPr>
          <w:rFonts w:ascii="宋体" w:hAnsi="宋体"/>
          <w:b/>
          <w:color w:val="auto"/>
          <w:kern w:val="0"/>
          <w:szCs w:val="21"/>
          <w:highlight w:val="none"/>
        </w:rPr>
        <w:t>13.递交响应文件的时间、地点和截止时间</w:t>
      </w:r>
      <w:bookmarkEnd w:id="19"/>
      <w:bookmarkEnd w:id="20"/>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13.1响应文件递交地点：</w:t>
      </w:r>
      <w:r>
        <w:rPr>
          <w:rFonts w:hint="eastAsia" w:ascii="宋体" w:hAnsi="宋体" w:cs="宋体"/>
          <w:color w:val="auto"/>
          <w:kern w:val="0"/>
          <w:szCs w:val="21"/>
          <w:highlight w:val="none"/>
        </w:rPr>
        <w:t>江门市住房和城乡建设档案馆（地址：广东省江门市江海一路83号首层）</w:t>
      </w:r>
      <w:r>
        <w:rPr>
          <w:rFonts w:hint="eastAsia" w:ascii="宋体" w:hAnsi="宋体" w:cs="宋体"/>
          <w:color w:val="auto"/>
          <w:szCs w:val="21"/>
          <w:highlight w:val="none"/>
        </w:rPr>
        <w:t>。</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13.2响应文件递交截止时间：2024年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日1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13.3采购人将于</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日</w:t>
      </w:r>
      <w:r>
        <w:rPr>
          <w:rFonts w:hint="eastAsia" w:ascii="宋体" w:hAnsi="宋体" w:cs="宋体"/>
          <w:color w:val="auto"/>
          <w:szCs w:val="21"/>
          <w:highlight w:val="none"/>
          <w:lang w:eastAsia="zh-CN"/>
        </w:rPr>
        <w:t>至</w:t>
      </w:r>
      <w:r>
        <w:rPr>
          <w:rFonts w:hint="eastAsia" w:ascii="宋体" w:hAnsi="宋体" w:cs="宋体"/>
          <w:color w:val="auto"/>
          <w:szCs w:val="21"/>
          <w:highlight w:val="none"/>
          <w:lang w:val="en-US" w:eastAsia="zh-CN"/>
        </w:rPr>
        <w:t>6月25日工作日</w:t>
      </w:r>
      <w:r>
        <w:rPr>
          <w:rFonts w:hint="eastAsia" w:ascii="宋体" w:hAnsi="宋体" w:cs="宋体"/>
          <w:color w:val="auto"/>
          <w:szCs w:val="21"/>
          <w:highlight w:val="none"/>
        </w:rPr>
        <w:t>上午</w:t>
      </w:r>
      <w:r>
        <w:rPr>
          <w:rFonts w:hint="eastAsia" w:ascii="宋体" w:hAnsi="宋体" w:cs="宋体"/>
          <w:color w:val="auto"/>
          <w:szCs w:val="21"/>
          <w:highlight w:val="none"/>
          <w:lang w:val="en-US" w:eastAsia="zh-CN"/>
        </w:rPr>
        <w:t>8:30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12:00、下午14:30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17:30</w:t>
      </w:r>
      <w:r>
        <w:rPr>
          <w:rFonts w:hint="eastAsia" w:ascii="宋体" w:hAnsi="宋体" w:cs="宋体"/>
          <w:color w:val="auto"/>
          <w:szCs w:val="21"/>
          <w:highlight w:val="none"/>
        </w:rPr>
        <w:t>接收响应文件。</w:t>
      </w:r>
    </w:p>
    <w:bookmarkEnd w:id="14"/>
    <w:bookmarkEnd w:id="15"/>
    <w:bookmarkEnd w:id="16"/>
    <w:bookmarkEnd w:id="17"/>
    <w:bookmarkEnd w:id="18"/>
    <w:p>
      <w:pPr>
        <w:spacing w:before="50"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五、综合评定办法</w:t>
      </w:r>
    </w:p>
    <w:p>
      <w:pPr>
        <w:widowControl/>
        <w:spacing w:after="120" w:line="480" w:lineRule="exact"/>
        <w:ind w:right="129" w:firstLine="422" w:firstLineChars="200"/>
        <w:rPr>
          <w:rFonts w:ascii="宋体" w:hAnsi="宋体" w:cs="宋体"/>
          <w:color w:val="auto"/>
          <w:szCs w:val="21"/>
          <w:highlight w:val="none"/>
        </w:rPr>
      </w:pPr>
      <w:bookmarkStart w:id="21" w:name="_Toc498161873"/>
      <w:bookmarkStart w:id="22" w:name="_Toc275948393"/>
      <w:bookmarkStart w:id="23" w:name="_Toc293668316"/>
      <w:bookmarkStart w:id="24" w:name="_Toc179791897"/>
      <w:bookmarkStart w:id="25" w:name="_Toc275861247"/>
      <w:r>
        <w:rPr>
          <w:rFonts w:hint="eastAsia" w:ascii="宋体" w:hAnsi="宋体" w:cs="宋体"/>
          <w:b/>
          <w:color w:val="auto"/>
          <w:szCs w:val="21"/>
          <w:highlight w:val="none"/>
        </w:rPr>
        <w:t>1.综合评定原则</w:t>
      </w:r>
      <w:bookmarkEnd w:id="21"/>
      <w:bookmarkEnd w:id="22"/>
      <w:bookmarkEnd w:id="23"/>
      <w:bookmarkEnd w:id="24"/>
      <w:bookmarkEnd w:id="25"/>
      <w:r>
        <w:rPr>
          <w:rFonts w:hint="eastAsia" w:ascii="宋体" w:hAnsi="宋体" w:cs="宋体"/>
          <w:b/>
          <w:color w:val="auto"/>
          <w:szCs w:val="21"/>
          <w:highlight w:val="none"/>
        </w:rPr>
        <w:t xml:space="preserve"> </w:t>
      </w:r>
      <w:r>
        <w:rPr>
          <w:rFonts w:hint="eastAsia" w:ascii="宋体" w:hAnsi="宋体" w:cs="宋体"/>
          <w:color w:val="auto"/>
          <w:szCs w:val="21"/>
          <w:highlight w:val="none"/>
        </w:rPr>
        <w:t>本项目采用综合评分法。采购人按照评定标准和评定方法对响应文件进行综合评定，并计算出所有供应商的综合得分，采购人按照综合得分排序确定供应商。</w:t>
      </w:r>
    </w:p>
    <w:p>
      <w:pPr>
        <w:widowControl/>
        <w:spacing w:after="120" w:line="480" w:lineRule="exact"/>
        <w:ind w:firstLine="422" w:firstLineChars="200"/>
        <w:rPr>
          <w:rFonts w:hAnsi="宋体" w:eastAsia="仿宋_GB2312"/>
          <w:b/>
          <w:color w:val="auto"/>
          <w:sz w:val="30"/>
          <w:szCs w:val="21"/>
          <w:highlight w:val="none"/>
        </w:rPr>
      </w:pPr>
      <w:r>
        <w:rPr>
          <w:rFonts w:hint="eastAsia" w:ascii="宋体" w:hAnsi="宋体" w:cs="宋体"/>
          <w:b/>
          <w:color w:val="auto"/>
          <w:szCs w:val="21"/>
          <w:highlight w:val="none"/>
        </w:rPr>
        <w:t>2.评分细则</w:t>
      </w:r>
    </w:p>
    <w:tbl>
      <w:tblPr>
        <w:tblStyle w:val="5"/>
        <w:tblW w:w="1035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9"/>
        <w:gridCol w:w="1492"/>
        <w:gridCol w:w="705"/>
        <w:gridCol w:w="75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5" w:hRule="atLeast"/>
          <w:jc w:val="center"/>
        </w:trPr>
        <w:tc>
          <w:tcPr>
            <w:tcW w:w="10353" w:type="dxa"/>
            <w:gridSpan w:val="4"/>
            <w:tcBorders>
              <w:top w:val="double" w:color="auto" w:sz="4" w:space="0"/>
              <w:left w:val="double" w:color="auto" w:sz="4" w:space="0"/>
              <w:bottom w:val="single" w:color="auto" w:sz="4" w:space="0"/>
              <w:right w:val="double" w:color="auto" w:sz="4" w:space="0"/>
            </w:tcBorders>
            <w:shd w:val="clear" w:color="auto" w:fill="auto"/>
            <w:vAlign w:val="center"/>
          </w:tcPr>
          <w:p>
            <w:pPr>
              <w:spacing w:line="48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商务部分（40分）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5"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序号</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ind w:firstLine="422" w:firstLineChars="200"/>
              <w:rPr>
                <w:rFonts w:ascii="宋体" w:hAnsi="宋体"/>
                <w:b/>
                <w:color w:val="auto"/>
                <w:kern w:val="0"/>
                <w:szCs w:val="21"/>
                <w:highlight w:val="none"/>
              </w:rPr>
            </w:pPr>
            <w:r>
              <w:rPr>
                <w:rFonts w:ascii="宋体" w:hAnsi="宋体"/>
                <w:b/>
                <w:color w:val="auto"/>
                <w:kern w:val="0"/>
                <w:szCs w:val="21"/>
                <w:highlight w:val="none"/>
              </w:rPr>
              <w:t>评审分项</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b/>
                <w:color w:val="auto"/>
                <w:kern w:val="0"/>
                <w:szCs w:val="21"/>
                <w:highlight w:val="none"/>
              </w:rPr>
            </w:pPr>
            <w:r>
              <w:rPr>
                <w:rFonts w:ascii="宋体" w:hAnsi="宋体"/>
                <w:b/>
                <w:color w:val="auto"/>
                <w:kern w:val="0"/>
                <w:szCs w:val="21"/>
                <w:highlight w:val="none"/>
              </w:rPr>
              <w:t>分值</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33"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Cs/>
                <w:color w:val="auto"/>
                <w:kern w:val="0"/>
                <w:szCs w:val="21"/>
                <w:highlight w:val="none"/>
              </w:rPr>
              <w:t>1</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拟投入本项目的项目负责人的情况</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4分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根据项目负责人提供以下一项得1分。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（1）国家人事部门颁发的档案馆员或副研究馆员或研究馆员资格证书；</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（2）项目管理师(PMP)证书；</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（3）高级档案管理师注册职业资格证书；</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（4）具有地级市（或以上）行政主管部门专业档案整理及数字化项目经验证明。</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【注：响应文件需提供人员的相关证书（明）和供应商为其购买的近3个月的社保或纳税证明文件。相关证明文件复印件加盖供应商公章作为评审依据。】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35"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2</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left"/>
              <w:rPr>
                <w:rFonts w:ascii="宋体" w:hAnsi="宋体"/>
                <w:color w:val="auto"/>
                <w:kern w:val="0"/>
                <w:szCs w:val="21"/>
                <w:highlight w:val="none"/>
              </w:rPr>
            </w:pPr>
            <w:r>
              <w:rPr>
                <w:rFonts w:ascii="宋体" w:hAnsi="宋体"/>
                <w:color w:val="auto"/>
                <w:kern w:val="0"/>
                <w:szCs w:val="21"/>
                <w:highlight w:val="none"/>
              </w:rPr>
              <w:t>拟投入本项目的其他项目组成人员（除项目负责人外）的情况</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8分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 xml:space="preserve">（1）由地市级或以上档案部门颁发的档案专业人员岗位培训证书，每个得0.5分； </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（2）中国信息安全测评中心颁发的国家信息安全水平证书，每个得0.5分。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（3）大专或以上学历的技术人员，每个得0.5分。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【注：响应文件需提供人员的相关证书和供应商为其购买的近3个月的社保或纳税证明文件。相关证明文件复印件加盖供应商公章作为评审依据。】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9"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3</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管理体系情况</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6分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供应商具有由国家认证认可监督管理部门批准设立的认证机构颁发并在有效期内且年审合格的认证证书，每提供以下一项证书得2分：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（1）ISO9001质量管理体系认证证书(认证范围含：档案（</w:t>
            </w:r>
            <w:r>
              <w:rPr>
                <w:rFonts w:ascii="宋体" w:hAnsi="宋体" w:cs="宋体"/>
                <w:color w:val="auto"/>
                <w:kern w:val="0"/>
                <w:szCs w:val="21"/>
                <w:highlight w:val="none"/>
              </w:rPr>
              <w:t>整理、修复、数字化）服务</w:t>
            </w:r>
            <w:r>
              <w:rPr>
                <w:rFonts w:ascii="宋体" w:hAnsi="宋体"/>
                <w:color w:val="auto"/>
                <w:kern w:val="0"/>
                <w:szCs w:val="21"/>
                <w:highlight w:val="none"/>
              </w:rPr>
              <w:t>；</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（2）ISO14001环境管理体系认证证书 (认证范围含：档案（</w:t>
            </w:r>
            <w:r>
              <w:rPr>
                <w:rFonts w:ascii="宋体" w:hAnsi="宋体" w:cs="宋体"/>
                <w:color w:val="auto"/>
                <w:kern w:val="0"/>
                <w:szCs w:val="21"/>
                <w:highlight w:val="none"/>
              </w:rPr>
              <w:t>整理、修复、数字化）服务</w:t>
            </w:r>
            <w:r>
              <w:rPr>
                <w:rFonts w:ascii="宋体" w:hAnsi="宋体"/>
                <w:color w:val="auto"/>
                <w:kern w:val="0"/>
                <w:szCs w:val="21"/>
                <w:highlight w:val="none"/>
              </w:rPr>
              <w:t>；</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（3）ISO45001职业健康安全管理体系认证证书(认证范围含：档案（</w:t>
            </w:r>
            <w:r>
              <w:rPr>
                <w:rFonts w:ascii="宋体" w:hAnsi="宋体" w:cs="宋体"/>
                <w:color w:val="auto"/>
                <w:kern w:val="0"/>
                <w:szCs w:val="21"/>
                <w:highlight w:val="none"/>
              </w:rPr>
              <w:t>整理、修复、数字化）服务</w:t>
            </w:r>
            <w:r>
              <w:rPr>
                <w:rFonts w:ascii="宋体" w:hAnsi="宋体"/>
                <w:color w:val="auto"/>
                <w:kern w:val="0"/>
                <w:szCs w:val="21"/>
                <w:highlight w:val="none"/>
              </w:rPr>
              <w:t>；</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【注：证书须在有效期内，供应商需提供国家认证认可监管委员会官网（http://www.cnca.gov.cn/）的截图和相关证书复印件并加盖供应商公章作为评审依据，无提供不得分】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57"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4</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档案服务资格</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3分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具备档案主管部门颁发的档案中介服务机构备案资质证书或备案回执得3分。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【注：响应文件需提供证书复印件加盖供应商公章作为评审依据。无提供不得分。】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019"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5</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软件服务能力</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7分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供应商具有自主研发的档案数据管理信息系统、档案数字化加工软件类、档案图像数据处理、编辑类相关软件著作权证书的，每提供一项得1分。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【注：响应文件需提供证书复印件加盖供应商公章作为评审依据，无提供不得分。】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66" w:hRule="atLeast"/>
          <w:jc w:val="center"/>
        </w:trPr>
        <w:tc>
          <w:tcPr>
            <w:tcW w:w="62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6</w:t>
            </w:r>
          </w:p>
        </w:tc>
        <w:tc>
          <w:tcPr>
            <w:tcW w:w="14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同类项目业绩</w:t>
            </w:r>
          </w:p>
        </w:tc>
        <w:tc>
          <w:tcPr>
            <w:tcW w:w="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12分</w:t>
            </w:r>
          </w:p>
        </w:tc>
        <w:tc>
          <w:tcPr>
            <w:tcW w:w="75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供应商近3年（20</w:t>
            </w:r>
            <w:r>
              <w:rPr>
                <w:rFonts w:hint="eastAsia" w:ascii="宋体" w:hAnsi="宋体"/>
                <w:color w:val="auto"/>
                <w:kern w:val="0"/>
                <w:szCs w:val="21"/>
                <w:highlight w:val="none"/>
              </w:rPr>
              <w:t>21</w:t>
            </w:r>
            <w:r>
              <w:rPr>
                <w:rFonts w:ascii="宋体" w:hAnsi="宋体"/>
                <w:color w:val="auto"/>
                <w:kern w:val="0"/>
                <w:szCs w:val="21"/>
                <w:highlight w:val="none"/>
              </w:rPr>
              <w:t>年3月至今）独立完成的专业档案整理及数字化服务项目业绩，每提供一项得1分。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【注：需提供合同关键页（含签订合同双方的单位名称、项目金额与含签订合同双方的落款盖章、签订日期）复印件及中标通知书（如有）作为同类业绩证明资料，不提供不得分。】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02" w:hRule="atLeast"/>
          <w:jc w:val="center"/>
        </w:trPr>
        <w:tc>
          <w:tcPr>
            <w:tcW w:w="2121" w:type="dxa"/>
            <w:gridSpan w:val="2"/>
            <w:tcBorders>
              <w:top w:val="single" w:color="auto" w:sz="4" w:space="0"/>
              <w:left w:val="double" w:color="auto" w:sz="4" w:space="0"/>
              <w:bottom w:val="double" w:color="auto" w:sz="4" w:space="0"/>
              <w:right w:val="single" w:color="auto" w:sz="4" w:space="0"/>
            </w:tcBorders>
            <w:shd w:val="clear" w:color="auto" w:fill="auto"/>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小计</w:t>
            </w:r>
          </w:p>
        </w:tc>
        <w:tc>
          <w:tcPr>
            <w:tcW w:w="8232" w:type="dxa"/>
            <w:gridSpan w:val="2"/>
            <w:tcBorders>
              <w:top w:val="single" w:color="auto" w:sz="4" w:space="0"/>
              <w:left w:val="single" w:color="auto" w:sz="4" w:space="0"/>
              <w:bottom w:val="double" w:color="auto" w:sz="4" w:space="0"/>
              <w:right w:val="double" w:color="auto" w:sz="4" w:space="0"/>
            </w:tcBorders>
            <w:shd w:val="clear" w:color="auto" w:fill="auto"/>
          </w:tcPr>
          <w:p>
            <w:pPr>
              <w:widowControl/>
              <w:autoSpaceDE w:val="0"/>
              <w:autoSpaceDN w:val="0"/>
              <w:spacing w:line="480" w:lineRule="exact"/>
              <w:ind w:firstLine="422" w:firstLineChars="200"/>
              <w:jc w:val="center"/>
              <w:rPr>
                <w:rFonts w:ascii="宋体" w:hAnsi="宋体"/>
                <w:b/>
                <w:color w:val="auto"/>
                <w:kern w:val="0"/>
                <w:szCs w:val="21"/>
                <w:highlight w:val="none"/>
              </w:rPr>
            </w:pPr>
            <w:r>
              <w:rPr>
                <w:rFonts w:ascii="宋体" w:hAnsi="宋体"/>
                <w:b/>
                <w:color w:val="auto"/>
                <w:kern w:val="0"/>
                <w:szCs w:val="21"/>
                <w:highlight w:val="none"/>
              </w:rPr>
              <w:t>40分</w:t>
            </w:r>
          </w:p>
        </w:tc>
      </w:tr>
    </w:tbl>
    <w:p>
      <w:pPr>
        <w:spacing w:line="440" w:lineRule="exact"/>
        <w:ind w:firstLine="422" w:firstLineChars="200"/>
        <w:rPr>
          <w:rFonts w:ascii="Arial Unicode MS" w:hAnsi="宋体" w:eastAsia="Arial Unicode MS"/>
          <w:b/>
          <w:color w:val="auto"/>
          <w:kern w:val="0"/>
          <w:sz w:val="24"/>
          <w:szCs w:val="21"/>
          <w:highlight w:val="none"/>
        </w:rPr>
      </w:pPr>
      <w:r>
        <w:rPr>
          <w:rFonts w:ascii="宋体" w:hAnsi="宋体"/>
          <w:b/>
          <w:color w:val="auto"/>
          <w:szCs w:val="21"/>
          <w:highlight w:val="none"/>
        </w:rPr>
        <w:t>备注：请供应商将“评分标准”中要求提供有关证书的原件（自制原件清单表格）单独包装，加工装上粘贴供应商名称，与响应文件同时提交。</w:t>
      </w:r>
    </w:p>
    <w:tbl>
      <w:tblPr>
        <w:tblStyle w:val="5"/>
        <w:tblW w:w="10353"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1012"/>
        <w:gridCol w:w="750"/>
        <w:gridCol w:w="80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26" w:hRule="atLeast"/>
          <w:jc w:val="center"/>
        </w:trPr>
        <w:tc>
          <w:tcPr>
            <w:tcW w:w="10353" w:type="dxa"/>
            <w:gridSpan w:val="4"/>
            <w:tcBorders>
              <w:top w:val="double" w:color="auto" w:sz="4" w:space="0"/>
              <w:left w:val="double" w:color="auto" w:sz="4" w:space="0"/>
              <w:bottom w:val="single" w:color="auto" w:sz="4" w:space="0"/>
              <w:right w:val="double" w:color="auto" w:sz="4" w:space="0"/>
            </w:tcBorders>
            <w:shd w:val="clear" w:color="auto" w:fill="auto"/>
            <w:vAlign w:val="center"/>
          </w:tcPr>
          <w:p>
            <w:pPr>
              <w:widowControl/>
              <w:autoSpaceDE w:val="0"/>
              <w:autoSpaceDN w:val="0"/>
              <w:spacing w:line="480" w:lineRule="exact"/>
              <w:ind w:firstLine="422" w:firstLineChars="200"/>
              <w:jc w:val="center"/>
              <w:rPr>
                <w:rFonts w:ascii="宋体" w:hAnsi="宋体"/>
                <w:b/>
                <w:color w:val="auto"/>
                <w:kern w:val="0"/>
                <w:szCs w:val="21"/>
                <w:highlight w:val="none"/>
              </w:rPr>
            </w:pPr>
            <w:r>
              <w:rPr>
                <w:rFonts w:ascii="宋体" w:hAnsi="宋体"/>
                <w:b/>
                <w:color w:val="auto"/>
                <w:kern w:val="0"/>
                <w:szCs w:val="21"/>
                <w:highlight w:val="none"/>
              </w:rPr>
              <w:t>技术部分（40分）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0" w:hRule="atLeast"/>
          <w:jc w:val="center"/>
        </w:trPr>
        <w:tc>
          <w:tcPr>
            <w:tcW w:w="58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序号</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评审分项</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b/>
                <w:color w:val="auto"/>
                <w:kern w:val="0"/>
                <w:szCs w:val="21"/>
                <w:highlight w:val="none"/>
              </w:rPr>
            </w:pPr>
            <w:r>
              <w:rPr>
                <w:rFonts w:ascii="宋体" w:hAnsi="宋体"/>
                <w:b/>
                <w:color w:val="auto"/>
                <w:kern w:val="0"/>
                <w:szCs w:val="21"/>
                <w:highlight w:val="none"/>
              </w:rPr>
              <w:t>分值</w:t>
            </w:r>
          </w:p>
        </w:tc>
        <w:tc>
          <w:tcPr>
            <w:tcW w:w="800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78" w:hRule="atLeast"/>
          <w:jc w:val="center"/>
        </w:trPr>
        <w:tc>
          <w:tcPr>
            <w:tcW w:w="58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1</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实施方案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8分</w:t>
            </w:r>
          </w:p>
        </w:tc>
        <w:tc>
          <w:tcPr>
            <w:tcW w:w="800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对比各供应商提供的实施方案进行比较和评审。（无提供不得分）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（1）方案重点难点分析准确，建议合理，实施方案完整的为优，得8分；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（2）方案重点难点分析较准确，建议较合理，实施方案较完整的为良，得5分；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（3）方案重点难点分析一般，建议较一般，实施方案一般的为一般，得2分；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（4）无得0分。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33" w:hRule="atLeast"/>
          <w:jc w:val="center"/>
        </w:trPr>
        <w:tc>
          <w:tcPr>
            <w:tcW w:w="58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hint="eastAsia" w:ascii="宋体" w:hAnsi="宋体"/>
                <w:color w:val="auto"/>
                <w:kern w:val="0"/>
                <w:szCs w:val="21"/>
                <w:highlight w:val="none"/>
              </w:rPr>
              <w:t>2</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运营实施方案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6分</w:t>
            </w:r>
          </w:p>
        </w:tc>
        <w:tc>
          <w:tcPr>
            <w:tcW w:w="800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spacing w:line="480" w:lineRule="exact"/>
              <w:textAlignment w:val="center"/>
              <w:rPr>
                <w:rFonts w:ascii="宋体" w:hAnsi="宋体" w:cs="宋体"/>
                <w:color w:val="auto"/>
                <w:szCs w:val="21"/>
                <w:highlight w:val="none"/>
              </w:rPr>
            </w:pPr>
            <w:r>
              <w:rPr>
                <w:rFonts w:hint="eastAsia" w:ascii="宋体" w:hAnsi="宋体" w:cs="宋体"/>
                <w:color w:val="auto"/>
                <w:szCs w:val="21"/>
                <w:highlight w:val="none"/>
              </w:rPr>
              <w:t>项目电子档案数据成果批量挂接到住建档案馆城建档案管理系统的运营实施方案（包括人员管理、设备管理和现场管理等）进行评审。（无提供不得分）</w:t>
            </w:r>
          </w:p>
          <w:p>
            <w:pPr>
              <w:widowControl/>
              <w:spacing w:line="480" w:lineRule="exact"/>
              <w:textAlignment w:val="center"/>
              <w:rPr>
                <w:rFonts w:ascii="宋体" w:hAnsi="宋体" w:cs="宋体"/>
                <w:color w:val="auto"/>
                <w:szCs w:val="21"/>
                <w:highlight w:val="none"/>
              </w:rPr>
            </w:pPr>
            <w:r>
              <w:rPr>
                <w:rFonts w:hint="eastAsia" w:ascii="宋体" w:hAnsi="宋体" w:cs="宋体"/>
                <w:color w:val="auto"/>
                <w:szCs w:val="21"/>
                <w:highlight w:val="none"/>
              </w:rPr>
              <w:t>（1）项目电子档案数据成果批量挂接到城建档案管理系统的运营实施方案合理性、高效、操作性强，得6分；</w:t>
            </w:r>
          </w:p>
          <w:p>
            <w:pPr>
              <w:widowControl/>
              <w:spacing w:line="480" w:lineRule="exact"/>
              <w:textAlignment w:val="center"/>
              <w:rPr>
                <w:rFonts w:ascii="宋体" w:hAnsi="宋体" w:cs="宋体"/>
                <w:color w:val="auto"/>
                <w:szCs w:val="21"/>
                <w:highlight w:val="none"/>
              </w:rPr>
            </w:pPr>
            <w:r>
              <w:rPr>
                <w:rFonts w:hint="eastAsia" w:ascii="宋体" w:hAnsi="宋体" w:cs="宋体"/>
                <w:color w:val="auto"/>
                <w:szCs w:val="21"/>
                <w:highlight w:val="none"/>
              </w:rPr>
              <w:t>（2）项目电子档案数据成果批量挂接到城建档案管理系统的运营实施方案合理性、高效、操作性一般，得3分；</w:t>
            </w:r>
          </w:p>
          <w:p>
            <w:pPr>
              <w:widowControl/>
              <w:spacing w:line="480" w:lineRule="exact"/>
              <w:textAlignment w:val="center"/>
              <w:rPr>
                <w:rFonts w:ascii="宋体" w:hAnsi="宋体" w:cs="宋体"/>
                <w:color w:val="auto"/>
                <w:szCs w:val="21"/>
                <w:highlight w:val="none"/>
              </w:rPr>
            </w:pPr>
            <w:r>
              <w:rPr>
                <w:rFonts w:hint="eastAsia" w:ascii="宋体" w:hAnsi="宋体" w:cs="宋体"/>
                <w:color w:val="auto"/>
                <w:szCs w:val="21"/>
                <w:highlight w:val="none"/>
              </w:rPr>
              <w:t>（3）项目电子档案数据成果批量挂接到城建档案管理系统的运营实施方案合理性、高效、操作性差，得1分；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（4）无得0分。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833" w:hRule="atLeast"/>
          <w:jc w:val="center"/>
        </w:trPr>
        <w:tc>
          <w:tcPr>
            <w:tcW w:w="58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3</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进度计划方案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8分</w:t>
            </w:r>
          </w:p>
        </w:tc>
        <w:tc>
          <w:tcPr>
            <w:tcW w:w="800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对比各供应商提供的工作岗位情况及进度计划方案进行比较和评审。（无提供不得分）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（1）方案各工作岗位分析很细致，人员安排合理，时间计划好，进度安排好的为优，得8分；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（2）方案各工作岗位分析较细致，人员安排较合理，时间计划较好，进度安排较好的为良，得5分；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（3）方案各工作岗位分析基本细致，人员安排基本合理，时间计划一般，进度安排一般的为一般，得2分；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（4）无得0分。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0" w:hRule="atLeast"/>
          <w:jc w:val="center"/>
        </w:trPr>
        <w:tc>
          <w:tcPr>
            <w:tcW w:w="58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4</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安全保密方案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7分</w:t>
            </w:r>
          </w:p>
        </w:tc>
        <w:tc>
          <w:tcPr>
            <w:tcW w:w="800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对比各供应商提供的安全保密方案进行比较和评审。（无提供不得分）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（1）方案安全保密制度很完整、安全保密措施科学合理的为优，得7分；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（2）方案安全保密制度较完整、安全保密措施比较科学合理的为良，得4分；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（3）方案安全保密制度基本完整、安全保密措施基本科学合理的为一般，得2分；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（4）无得0分。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58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5</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数据迁移方案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6分</w:t>
            </w:r>
          </w:p>
        </w:tc>
        <w:tc>
          <w:tcPr>
            <w:tcW w:w="800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对比所有供应商熟悉本项目城建档案管理系统及档案著录数据成果管理程度，对供应商提供的著录成果管理、数据迁移方案情况进行比较和评价。（无提供不得分）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（1）熟悉程度高，方案详尽，符合实际，可行性强的为优，得6分；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（2）熟悉程度一般，方案较合理，较符合实际，可行性好为良，得3分；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（3）熟悉程度差，方案一般，基本符合实际，可行性一般为一般，得1分；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（4）响应文件无提供数据迁移方案得0分。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87" w:hRule="atLeast"/>
          <w:jc w:val="center"/>
        </w:trPr>
        <w:tc>
          <w:tcPr>
            <w:tcW w:w="584"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ind w:firstLine="210" w:firstLineChars="100"/>
              <w:jc w:val="both"/>
              <w:rPr>
                <w:rFonts w:ascii="宋体" w:hAnsi="宋体"/>
                <w:color w:val="auto"/>
                <w:kern w:val="0"/>
                <w:szCs w:val="21"/>
                <w:highlight w:val="none"/>
              </w:rPr>
            </w:pPr>
            <w:r>
              <w:rPr>
                <w:rFonts w:ascii="宋体" w:hAnsi="宋体"/>
                <w:color w:val="auto"/>
                <w:kern w:val="0"/>
                <w:szCs w:val="21"/>
                <w:highlight w:val="none"/>
              </w:rPr>
              <w:t>6</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售后服务方案</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5分</w:t>
            </w:r>
          </w:p>
        </w:tc>
        <w:tc>
          <w:tcPr>
            <w:tcW w:w="800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综合考虑供应商售后服务响应效率、售后服务方案及承诺等进行评审。（无提供不得分）</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（1）优秀得5分；（2）良好得3分；（3）一般得1分；（4）无得0分。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1" w:hRule="atLeast"/>
          <w:jc w:val="center"/>
        </w:trPr>
        <w:tc>
          <w:tcPr>
            <w:tcW w:w="1596" w:type="dxa"/>
            <w:gridSpan w:val="2"/>
            <w:tcBorders>
              <w:top w:val="single" w:color="auto" w:sz="4" w:space="0"/>
              <w:left w:val="double" w:color="auto" w:sz="4" w:space="0"/>
              <w:bottom w:val="doub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小计</w:t>
            </w:r>
          </w:p>
        </w:tc>
        <w:tc>
          <w:tcPr>
            <w:tcW w:w="8757" w:type="dxa"/>
            <w:gridSpan w:val="2"/>
            <w:tcBorders>
              <w:top w:val="single" w:color="auto" w:sz="4" w:space="0"/>
              <w:left w:val="single" w:color="auto" w:sz="4" w:space="0"/>
              <w:bottom w:val="double" w:color="auto" w:sz="4" w:space="0"/>
              <w:right w:val="doub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40分</w:t>
            </w:r>
          </w:p>
        </w:tc>
      </w:tr>
    </w:tbl>
    <w:p>
      <w:pPr>
        <w:spacing w:line="480" w:lineRule="exact"/>
        <w:rPr>
          <w:rFonts w:ascii="Arial Unicode MS" w:hAnsi="宋体" w:eastAsia="Arial Unicode MS"/>
          <w:color w:val="auto"/>
          <w:kern w:val="0"/>
          <w:sz w:val="24"/>
          <w:szCs w:val="21"/>
          <w:highlight w:val="none"/>
        </w:rPr>
      </w:pPr>
    </w:p>
    <w:tbl>
      <w:tblPr>
        <w:tblStyle w:val="5"/>
        <w:tblW w:w="10281"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7"/>
        <w:gridCol w:w="1028"/>
        <w:gridCol w:w="698"/>
        <w:gridCol w:w="797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260" w:hRule="atLeast"/>
          <w:jc w:val="center"/>
        </w:trPr>
        <w:tc>
          <w:tcPr>
            <w:tcW w:w="10281" w:type="dxa"/>
            <w:gridSpan w:val="4"/>
            <w:tcBorders>
              <w:top w:val="double" w:color="auto" w:sz="4" w:space="0"/>
              <w:left w:val="double" w:color="auto" w:sz="4" w:space="0"/>
              <w:bottom w:val="single" w:color="auto" w:sz="4" w:space="0"/>
              <w:right w:val="doub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价格评分（20分）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2" w:hRule="atLeast"/>
          <w:jc w:val="center"/>
        </w:trPr>
        <w:tc>
          <w:tcPr>
            <w:tcW w:w="577"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b/>
                <w:color w:val="auto"/>
                <w:kern w:val="0"/>
                <w:szCs w:val="21"/>
                <w:highlight w:val="none"/>
              </w:rPr>
            </w:pPr>
            <w:r>
              <w:rPr>
                <w:rFonts w:ascii="宋体" w:hAnsi="宋体"/>
                <w:b/>
                <w:color w:val="auto"/>
                <w:kern w:val="0"/>
                <w:szCs w:val="21"/>
                <w:highlight w:val="none"/>
              </w:rPr>
              <w:t>序号</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b/>
                <w:color w:val="auto"/>
                <w:kern w:val="0"/>
                <w:szCs w:val="21"/>
                <w:highlight w:val="none"/>
              </w:rPr>
            </w:pPr>
            <w:r>
              <w:rPr>
                <w:rFonts w:ascii="宋体" w:hAnsi="宋体"/>
                <w:b/>
                <w:color w:val="auto"/>
                <w:kern w:val="0"/>
                <w:szCs w:val="21"/>
                <w:highlight w:val="none"/>
              </w:rPr>
              <w:t>评审分项</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rPr>
                <w:rFonts w:ascii="宋体" w:hAnsi="宋体"/>
                <w:b/>
                <w:color w:val="auto"/>
                <w:kern w:val="0"/>
                <w:szCs w:val="21"/>
                <w:highlight w:val="none"/>
              </w:rPr>
            </w:pPr>
            <w:r>
              <w:rPr>
                <w:rFonts w:ascii="宋体" w:hAnsi="宋体"/>
                <w:b/>
                <w:color w:val="auto"/>
                <w:kern w:val="0"/>
                <w:szCs w:val="21"/>
                <w:highlight w:val="none"/>
              </w:rPr>
              <w:t>分值</w:t>
            </w:r>
          </w:p>
        </w:tc>
        <w:tc>
          <w:tcPr>
            <w:tcW w:w="7978"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ind w:firstLine="200"/>
              <w:jc w:val="center"/>
              <w:rPr>
                <w:rFonts w:ascii="宋体" w:hAnsi="宋体"/>
                <w:b/>
                <w:color w:val="auto"/>
                <w:kern w:val="0"/>
                <w:szCs w:val="21"/>
                <w:highlight w:val="none"/>
              </w:rPr>
            </w:pPr>
            <w:r>
              <w:rPr>
                <w:rFonts w:ascii="宋体" w:hAnsi="宋体"/>
                <w:b/>
                <w:color w:val="auto"/>
                <w:kern w:val="0"/>
                <w:szCs w:val="21"/>
                <w:highlight w:val="none"/>
              </w:rPr>
              <w:t>评分标准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213" w:hRule="atLeast"/>
          <w:jc w:val="center"/>
        </w:trPr>
        <w:tc>
          <w:tcPr>
            <w:tcW w:w="577"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1</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响应报价</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spacing w:line="480" w:lineRule="exact"/>
              <w:jc w:val="center"/>
              <w:rPr>
                <w:rFonts w:ascii="宋体" w:hAnsi="宋体"/>
                <w:color w:val="auto"/>
                <w:kern w:val="0"/>
                <w:szCs w:val="21"/>
                <w:highlight w:val="none"/>
              </w:rPr>
            </w:pPr>
            <w:r>
              <w:rPr>
                <w:rFonts w:ascii="宋体" w:hAnsi="宋体"/>
                <w:color w:val="auto"/>
                <w:kern w:val="0"/>
                <w:szCs w:val="21"/>
                <w:highlight w:val="none"/>
              </w:rPr>
              <w:t>20分</w:t>
            </w:r>
          </w:p>
        </w:tc>
        <w:tc>
          <w:tcPr>
            <w:tcW w:w="7978"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响应报价得分=(评价基准价</w:t>
            </w:r>
            <w:r>
              <w:rPr>
                <w:rFonts w:ascii="宋体" w:hAnsi="宋体"/>
                <w:b/>
                <w:color w:val="auto"/>
                <w:kern w:val="0"/>
                <w:szCs w:val="21"/>
                <w:highlight w:val="none"/>
              </w:rPr>
              <w:t>/</w:t>
            </w:r>
            <w:r>
              <w:rPr>
                <w:rFonts w:ascii="宋体" w:hAnsi="宋体"/>
                <w:color w:val="auto"/>
                <w:kern w:val="0"/>
                <w:szCs w:val="21"/>
                <w:highlight w:val="none"/>
              </w:rPr>
              <w:t>响应报价)</w:t>
            </w:r>
            <w:r>
              <w:rPr>
                <w:rFonts w:ascii="宋体" w:hAnsi="宋体" w:cs="Arial"/>
                <w:color w:val="auto"/>
                <w:kern w:val="0"/>
                <w:szCs w:val="21"/>
                <w:highlight w:val="none"/>
              </w:rPr>
              <w:t>×</w:t>
            </w:r>
            <w:r>
              <w:rPr>
                <w:rFonts w:ascii="宋体" w:hAnsi="宋体"/>
                <w:color w:val="auto"/>
                <w:kern w:val="0"/>
                <w:szCs w:val="21"/>
                <w:highlight w:val="none"/>
              </w:rPr>
              <w:t>价格分值。</w:t>
            </w:r>
          </w:p>
          <w:p>
            <w:pPr>
              <w:widowControl/>
              <w:autoSpaceDE w:val="0"/>
              <w:autoSpaceDN w:val="0"/>
              <w:spacing w:line="480" w:lineRule="exact"/>
              <w:rPr>
                <w:rFonts w:ascii="宋体" w:hAnsi="宋体"/>
                <w:color w:val="auto"/>
                <w:kern w:val="0"/>
                <w:szCs w:val="21"/>
                <w:highlight w:val="none"/>
              </w:rPr>
            </w:pPr>
            <w:r>
              <w:rPr>
                <w:rFonts w:ascii="宋体" w:hAnsi="宋体"/>
                <w:color w:val="auto"/>
                <w:kern w:val="0"/>
                <w:szCs w:val="21"/>
                <w:highlight w:val="none"/>
              </w:rPr>
              <w:t>【注:满足招标文件要求且响应价格最低的响应报价为评标基准价。】最低报价不是中标的唯一依据。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933" w:hRule="atLeast"/>
          <w:jc w:val="center"/>
        </w:trPr>
        <w:tc>
          <w:tcPr>
            <w:tcW w:w="10281" w:type="dxa"/>
            <w:gridSpan w:val="4"/>
            <w:tcBorders>
              <w:top w:val="single" w:color="auto" w:sz="4" w:space="0"/>
              <w:left w:val="double" w:color="auto" w:sz="4" w:space="0"/>
              <w:bottom w:val="double" w:color="auto" w:sz="4" w:space="0"/>
              <w:right w:val="double" w:color="auto" w:sz="4" w:space="0"/>
            </w:tcBorders>
            <w:shd w:val="clear" w:color="auto" w:fill="auto"/>
            <w:vAlign w:val="center"/>
          </w:tcPr>
          <w:p>
            <w:pPr>
              <w:widowControl/>
              <w:autoSpaceDE w:val="0"/>
              <w:autoSpaceDN w:val="0"/>
              <w:spacing w:line="480" w:lineRule="exact"/>
              <w:ind w:firstLine="420" w:firstLineChars="200"/>
              <w:rPr>
                <w:rFonts w:ascii="宋体" w:hAnsi="宋体"/>
                <w:b/>
                <w:color w:val="auto"/>
                <w:kern w:val="0"/>
                <w:szCs w:val="21"/>
                <w:highlight w:val="none"/>
              </w:rPr>
            </w:pPr>
            <w:r>
              <w:rPr>
                <w:rFonts w:ascii="宋体" w:hAnsi="宋体"/>
                <w:color w:val="auto"/>
                <w:kern w:val="0"/>
                <w:szCs w:val="21"/>
                <w:highlight w:val="none"/>
              </w:rPr>
              <w:t>根据《中华人民共和国财政部令第87号—政府采购货物和服务招标管理办法》第六十条：采购人认为供应商的报价明显低于其他通过符合性审查供应商的报价，有可能影响产品质量或者不能诚信履约的，应当要求其在评标现场合力的时间内提供书面说明，必要时提交相关证明材料；供应商不能证明其报价合理性的，采购人应当将其作为无效响应处理。</w:t>
            </w:r>
          </w:p>
        </w:tc>
      </w:tr>
    </w:tbl>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2.1由采购人综合标定小组成员对所有响应文件的技术指标响应进行审核和分析后；对响应文件的技术指标响应进行评分，填写《技术评分表》。</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2.2将采购人综合标定小组各成员的《技术评分表》汇集，取评分的算术平均值，为该供应商的技术评定得分。</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2.3采购人综合标定小组成员评审每个供应商对响应文件中的商务要求的响应情况后，填写《商务评分表》，</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2.4将采购人综合标定小组各成员的《商务评分表》汇集，取评分的算术平均值，为该供应商的商务评定得分。</w:t>
      </w:r>
    </w:p>
    <w:p>
      <w:pPr>
        <w:spacing w:line="480" w:lineRule="exact"/>
        <w:ind w:firstLine="420" w:firstLineChars="200"/>
        <w:rPr>
          <w:rFonts w:ascii="宋体" w:hAnsi="宋体" w:cs="宋体"/>
          <w:color w:val="auto"/>
          <w:kern w:val="0"/>
          <w:szCs w:val="21"/>
          <w:highlight w:val="none"/>
        </w:rPr>
      </w:pPr>
      <w:r>
        <w:rPr>
          <w:rFonts w:ascii="宋体" w:hAnsi="宋体"/>
          <w:color w:val="auto"/>
          <w:szCs w:val="21"/>
          <w:highlight w:val="none"/>
        </w:rPr>
        <w:t>2.5</w:t>
      </w:r>
      <w:r>
        <w:rPr>
          <w:rFonts w:ascii="宋体" w:hAnsi="宋体" w:cs="宋体"/>
          <w:color w:val="auto"/>
          <w:szCs w:val="21"/>
          <w:highlight w:val="none"/>
        </w:rPr>
        <w:t>采购人</w:t>
      </w:r>
      <w:r>
        <w:rPr>
          <w:rFonts w:ascii="宋体" w:hAnsi="宋体"/>
          <w:color w:val="auto"/>
          <w:szCs w:val="21"/>
          <w:highlight w:val="none"/>
        </w:rPr>
        <w:t>综合标定小组成员</w:t>
      </w:r>
      <w:r>
        <w:rPr>
          <w:rFonts w:ascii="宋体" w:hAnsi="宋体" w:cs="宋体"/>
          <w:color w:val="auto"/>
          <w:szCs w:val="21"/>
          <w:highlight w:val="none"/>
        </w:rPr>
        <w:t>取满足采购需求要求且价格最低的响应报价作为响应基准价</w:t>
      </w:r>
    </w:p>
    <w:p>
      <w:pPr>
        <w:spacing w:line="480" w:lineRule="exact"/>
        <w:ind w:firstLine="315" w:firstLineChars="150"/>
        <w:rPr>
          <w:rFonts w:ascii="宋体" w:hAnsi="宋体" w:cs="宋体"/>
          <w:color w:val="auto"/>
          <w:szCs w:val="21"/>
          <w:highlight w:val="none"/>
        </w:rPr>
      </w:pPr>
      <w:r>
        <w:rPr>
          <w:rFonts w:hint="eastAsia" w:ascii="宋体" w:hAnsi="宋体"/>
          <w:color w:val="auto"/>
          <w:szCs w:val="21"/>
          <w:highlight w:val="none"/>
        </w:rPr>
        <w:t>价格评定得分</w:t>
      </w:r>
      <w:r>
        <w:rPr>
          <w:rFonts w:hint="eastAsia" w:ascii="宋体" w:hAnsi="宋体" w:cs="宋体"/>
          <w:color w:val="auto"/>
          <w:szCs w:val="21"/>
          <w:highlight w:val="none"/>
        </w:rPr>
        <w:t>=(响应基准价/响应报价)×价格分值；</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3.综合得分的计算：</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3.1</w:t>
      </w:r>
      <w:r>
        <w:rPr>
          <w:rFonts w:ascii="宋体" w:hAnsi="宋体"/>
          <w:b/>
          <w:bCs/>
          <w:color w:val="auto"/>
          <w:szCs w:val="21"/>
          <w:highlight w:val="none"/>
        </w:rPr>
        <w:t>综合得分=技术评定得分+商务评定得分+价格评定得分</w:t>
      </w:r>
      <w:r>
        <w:rPr>
          <w:rFonts w:ascii="宋体" w:hAnsi="宋体"/>
          <w:color w:val="auto"/>
          <w:szCs w:val="21"/>
          <w:highlight w:val="none"/>
        </w:rPr>
        <w:t>；</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3.2 在综合评定过程中所有计算结果均精确到小数点后四位，第五位数四舍五入；</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3.3将综合得分从高到低排出名次，综合得分最高的供应商为第一供应商候选人，第二名为第二供应商候选人，以此类推。</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3.4综合得分相同的，按响应报价由低到高顺序排出名次，报价最低的供应商为第一供应商候选人。</w:t>
      </w:r>
    </w:p>
    <w:p>
      <w:pPr>
        <w:spacing w:line="4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3.5综合得分且响应报价相同的，按技术评定得分由高到低顺序排出名次，名次最高的供应商为第一供应商候选人。</w:t>
      </w:r>
    </w:p>
    <w:p>
      <w:pPr>
        <w:keepNext/>
        <w:keepLines/>
        <w:widowControl/>
        <w:spacing w:before="156" w:beforeLines="50" w:line="480" w:lineRule="exact"/>
        <w:ind w:left="420"/>
        <w:outlineLvl w:val="1"/>
        <w:rPr>
          <w:rFonts w:ascii="宋体" w:hAnsi="宋体" w:cs="宋体"/>
          <w:b/>
          <w:bCs/>
          <w:color w:val="auto"/>
          <w:szCs w:val="21"/>
          <w:highlight w:val="none"/>
        </w:rPr>
      </w:pPr>
      <w:bookmarkStart w:id="26" w:name="_Toc99635330"/>
      <w:r>
        <w:rPr>
          <w:rFonts w:hint="eastAsia" w:ascii="宋体" w:hAnsi="宋体" w:cs="宋体"/>
          <w:b/>
          <w:bCs/>
          <w:color w:val="auto"/>
          <w:szCs w:val="21"/>
          <w:highlight w:val="none"/>
        </w:rPr>
        <w:t>六、确定</w:t>
      </w:r>
      <w:bookmarkEnd w:id="26"/>
      <w:r>
        <w:rPr>
          <w:rFonts w:hint="eastAsia" w:ascii="宋体" w:hAnsi="宋体" w:cs="宋体"/>
          <w:b/>
          <w:bCs/>
          <w:color w:val="auto"/>
          <w:szCs w:val="21"/>
          <w:highlight w:val="none"/>
        </w:rPr>
        <w:t>供应商</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采购人完成综合评定工作后，按照综合得分排序名次，确定供应商；</w:t>
      </w:r>
    </w:p>
    <w:p>
      <w:pPr>
        <w:keepNext/>
        <w:keepLines/>
        <w:widowControl/>
        <w:spacing w:before="156" w:beforeLines="50" w:line="480" w:lineRule="exact"/>
        <w:ind w:left="422"/>
        <w:outlineLvl w:val="1"/>
        <w:rPr>
          <w:rFonts w:ascii="宋体" w:hAnsi="宋体" w:cs="宋体"/>
          <w:b/>
          <w:bCs/>
          <w:color w:val="auto"/>
          <w:szCs w:val="21"/>
          <w:highlight w:val="none"/>
        </w:rPr>
      </w:pPr>
      <w:bookmarkStart w:id="27" w:name="_Toc37756778"/>
      <w:bookmarkStart w:id="28" w:name="_Toc110953852"/>
      <w:bookmarkStart w:id="29" w:name="_Toc99635331"/>
      <w:bookmarkStart w:id="30" w:name="_Toc475249143"/>
      <w:r>
        <w:rPr>
          <w:rFonts w:hint="eastAsia" w:ascii="宋体" w:hAnsi="宋体" w:cs="宋体"/>
          <w:b/>
          <w:bCs/>
          <w:color w:val="auto"/>
          <w:szCs w:val="21"/>
          <w:highlight w:val="none"/>
        </w:rPr>
        <w:t>七、签订采购合同</w:t>
      </w:r>
      <w:bookmarkEnd w:id="27"/>
      <w:bookmarkEnd w:id="28"/>
      <w:bookmarkEnd w:id="29"/>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采购人与供应商按照响应文件确定的事项签订采购合同。</w:t>
      </w:r>
      <w:bookmarkEnd w:id="30"/>
    </w:p>
    <w:p>
      <w:pPr>
        <w:rPr>
          <w:rFonts w:ascii="Calibri" w:hAnsi="Calibri"/>
          <w:color w:val="auto"/>
          <w:highlight w:val="none"/>
        </w:rPr>
      </w:pPr>
    </w:p>
    <w:p>
      <w:pPr>
        <w:keepNext/>
        <w:keepLines/>
        <w:widowControl/>
        <w:autoSpaceDE w:val="0"/>
        <w:autoSpaceDN w:val="0"/>
        <w:adjustRightInd w:val="0"/>
        <w:spacing w:line="480" w:lineRule="exact"/>
        <w:jc w:val="center"/>
        <w:outlineLvl w:val="0"/>
        <w:rPr>
          <w:rFonts w:ascii="宋体" w:hAnsi="宋体"/>
          <w:b/>
          <w:color w:val="auto"/>
          <w:kern w:val="44"/>
          <w:sz w:val="28"/>
          <w:szCs w:val="28"/>
          <w:highlight w:val="none"/>
        </w:rPr>
      </w:pPr>
      <w:bookmarkStart w:id="31" w:name="_Toc51939458"/>
      <w:bookmarkStart w:id="32" w:name="_Toc56353012"/>
      <w:bookmarkStart w:id="33" w:name="_Toc51756493"/>
      <w:bookmarkStart w:id="34" w:name="_Toc52027928"/>
      <w:bookmarkStart w:id="35" w:name="_Toc52021540"/>
      <w:r>
        <w:rPr>
          <w:rFonts w:ascii="宋体" w:hAnsi="宋体"/>
          <w:b/>
          <w:color w:val="auto"/>
          <w:kern w:val="44"/>
          <w:sz w:val="28"/>
          <w:szCs w:val="28"/>
          <w:highlight w:val="none"/>
        </w:rPr>
        <w:t xml:space="preserve">  </w:t>
      </w:r>
      <w:bookmarkEnd w:id="31"/>
      <w:bookmarkEnd w:id="32"/>
      <w:bookmarkEnd w:id="33"/>
      <w:bookmarkEnd w:id="34"/>
      <w:bookmarkEnd w:id="35"/>
      <w:bookmarkStart w:id="36" w:name="_Toc99635335"/>
      <w:bookmarkStart w:id="37" w:name="_Toc44483545"/>
      <w:bookmarkStart w:id="38" w:name="_Toc44772671"/>
      <w:bookmarkStart w:id="39" w:name="_Toc44484953"/>
      <w:bookmarkStart w:id="40" w:name="_Toc41907934"/>
      <w:bookmarkStart w:id="41" w:name="_Toc43880863"/>
      <w:bookmarkStart w:id="42" w:name="_Toc234831538"/>
      <w:bookmarkStart w:id="43" w:name="_Toc467050236"/>
      <w:bookmarkStart w:id="44" w:name="_Toc467236766"/>
      <w:bookmarkStart w:id="45" w:name="_Toc457975339"/>
      <w:bookmarkStart w:id="46" w:name="_Toc486671570"/>
      <w:bookmarkStart w:id="47" w:name="_Toc467049706"/>
      <w:bookmarkStart w:id="48" w:name="_Toc476976198"/>
      <w:r>
        <w:rPr>
          <w:rFonts w:ascii="宋体" w:hAnsi="宋体"/>
          <w:b/>
          <w:color w:val="auto"/>
          <w:kern w:val="44"/>
          <w:sz w:val="28"/>
          <w:szCs w:val="28"/>
          <w:highlight w:val="none"/>
        </w:rPr>
        <w:t>202</w:t>
      </w:r>
      <w:r>
        <w:rPr>
          <w:rFonts w:hint="eastAsia" w:ascii="宋体" w:hAnsi="宋体"/>
          <w:b/>
          <w:color w:val="auto"/>
          <w:kern w:val="44"/>
          <w:sz w:val="28"/>
          <w:szCs w:val="28"/>
          <w:highlight w:val="none"/>
        </w:rPr>
        <w:t>4</w:t>
      </w:r>
      <w:r>
        <w:rPr>
          <w:rFonts w:ascii="宋体" w:hAnsi="宋体"/>
          <w:b/>
          <w:color w:val="auto"/>
          <w:kern w:val="44"/>
          <w:sz w:val="28"/>
          <w:szCs w:val="28"/>
          <w:highlight w:val="none"/>
        </w:rPr>
        <w:t>年</w:t>
      </w:r>
      <w:r>
        <w:rPr>
          <w:rFonts w:hint="eastAsia" w:ascii="宋体" w:hAnsi="宋体"/>
          <w:b/>
          <w:color w:val="auto"/>
          <w:kern w:val="44"/>
          <w:sz w:val="28"/>
          <w:szCs w:val="28"/>
          <w:highlight w:val="none"/>
        </w:rPr>
        <w:t>城建档案资料数字化</w:t>
      </w:r>
      <w:r>
        <w:rPr>
          <w:rFonts w:ascii="宋体" w:hAnsi="宋体"/>
          <w:b/>
          <w:color w:val="auto"/>
          <w:kern w:val="44"/>
          <w:sz w:val="28"/>
          <w:szCs w:val="28"/>
          <w:highlight w:val="none"/>
        </w:rPr>
        <w:t>加工服务项目采购合同</w:t>
      </w:r>
      <w:bookmarkEnd w:id="36"/>
    </w:p>
    <w:p>
      <w:pPr>
        <w:keepNext/>
        <w:keepLines/>
        <w:widowControl/>
        <w:autoSpaceDE w:val="0"/>
        <w:autoSpaceDN w:val="0"/>
        <w:adjustRightInd w:val="0"/>
        <w:spacing w:line="480" w:lineRule="exact"/>
        <w:jc w:val="center"/>
        <w:outlineLvl w:val="0"/>
        <w:rPr>
          <w:rFonts w:ascii="宋体" w:hAnsi="宋体"/>
          <w:b/>
          <w:color w:val="auto"/>
          <w:kern w:val="44"/>
          <w:sz w:val="28"/>
          <w:szCs w:val="28"/>
          <w:highlight w:val="none"/>
        </w:rPr>
      </w:pPr>
      <w:bookmarkStart w:id="49" w:name="_Toc99635336"/>
      <w:r>
        <w:rPr>
          <w:rFonts w:ascii="宋体" w:hAnsi="宋体"/>
          <w:b/>
          <w:color w:val="auto"/>
          <w:kern w:val="44"/>
          <w:sz w:val="28"/>
          <w:szCs w:val="28"/>
          <w:highlight w:val="none"/>
        </w:rPr>
        <w:t>（参考范本）</w:t>
      </w:r>
      <w:bookmarkEnd w:id="37"/>
      <w:bookmarkEnd w:id="38"/>
      <w:bookmarkEnd w:id="39"/>
      <w:bookmarkEnd w:id="40"/>
      <w:bookmarkEnd w:id="41"/>
      <w:bookmarkEnd w:id="42"/>
      <w:bookmarkEnd w:id="49"/>
    </w:p>
    <w:bookmarkEnd w:id="43"/>
    <w:bookmarkEnd w:id="44"/>
    <w:bookmarkEnd w:id="45"/>
    <w:bookmarkEnd w:id="46"/>
    <w:bookmarkEnd w:id="47"/>
    <w:bookmarkEnd w:id="48"/>
    <w:p>
      <w:pPr>
        <w:spacing w:line="480" w:lineRule="exact"/>
        <w:rPr>
          <w:rFonts w:ascii="宋体" w:hAnsi="宋体" w:cs="宋体"/>
          <w:color w:val="auto"/>
          <w:szCs w:val="21"/>
          <w:highlight w:val="none"/>
        </w:rPr>
      </w:pPr>
      <w:bookmarkStart w:id="50" w:name="_Toc51939472"/>
      <w:bookmarkStart w:id="51" w:name="_Toc52021542"/>
      <w:bookmarkStart w:id="52" w:name="_Toc56353015"/>
      <w:bookmarkStart w:id="53" w:name="_Toc51756507"/>
      <w:bookmarkStart w:id="54" w:name="_Toc52027930"/>
      <w:bookmarkStart w:id="55" w:name="_Toc467236767"/>
      <w:bookmarkStart w:id="56" w:name="_Toc476976199"/>
      <w:bookmarkStart w:id="57" w:name="_Toc458262637"/>
      <w:bookmarkStart w:id="58" w:name="_Toc486671571"/>
      <w:bookmarkStart w:id="59" w:name="_Toc454701404"/>
      <w:r>
        <w:rPr>
          <w:rFonts w:hint="eastAsia" w:ascii="宋体" w:hAnsi="宋体" w:cs="宋体"/>
          <w:color w:val="auto"/>
          <w:szCs w:val="21"/>
          <w:highlight w:val="none"/>
        </w:rPr>
        <w:t>甲方：</w:t>
      </w:r>
      <w:r>
        <w:rPr>
          <w:rFonts w:hint="eastAsia" w:ascii="宋体" w:hAnsi="宋体" w:cs="宋体"/>
          <w:color w:val="auto"/>
          <w:szCs w:val="21"/>
          <w:highlight w:val="none"/>
          <w:u w:val="single"/>
        </w:rPr>
        <w:t xml:space="preserve">                                     </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乙方：</w:t>
      </w:r>
      <w:r>
        <w:rPr>
          <w:rFonts w:hint="eastAsia" w:ascii="宋体" w:hAnsi="宋体" w:cs="宋体"/>
          <w:color w:val="auto"/>
          <w:szCs w:val="21"/>
          <w:highlight w:val="none"/>
          <w:u w:val="single"/>
        </w:rPr>
        <w:t xml:space="preserve">                                     </w:t>
      </w:r>
    </w:p>
    <w:p>
      <w:pPr>
        <w:spacing w:line="48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甲乙双方根据《中华人民共和国民法典(合同编)》和《中华人民共和国政府采购法》等有关法律法规的规定，按照2024年 月 日2024年城建档案资料数字化加工服务项目的综合评定结果、供应商的响应文件的要求，经双方协商一致，订立合同如下：</w:t>
      </w:r>
    </w:p>
    <w:p>
      <w:pPr>
        <w:spacing w:line="480" w:lineRule="exact"/>
        <w:ind w:firstLine="422" w:firstLineChars="200"/>
        <w:outlineLvl w:val="0"/>
        <w:rPr>
          <w:rFonts w:ascii="宋体" w:hAnsi="宋体" w:cs="宋体"/>
          <w:color w:val="auto"/>
          <w:szCs w:val="21"/>
          <w:highlight w:val="none"/>
        </w:rPr>
      </w:pPr>
      <w:r>
        <w:rPr>
          <w:rFonts w:hint="eastAsia" w:ascii="宋体" w:hAnsi="宋体" w:cs="宋体"/>
          <w:b/>
          <w:color w:val="auto"/>
          <w:szCs w:val="21"/>
          <w:highlight w:val="none"/>
        </w:rPr>
        <w:t>第一条  标的</w:t>
      </w:r>
    </w:p>
    <w:p>
      <w:pPr>
        <w:spacing w:line="48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1.项目名称：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8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2.项目总价是完成项目的含税全包价。项目总价采取总价包死的方式，所有价格变动的风险均由乙方承担。甲方不需再向乙方支付任何其他费用。</w:t>
      </w:r>
    </w:p>
    <w:p>
      <w:pPr>
        <w:spacing w:line="48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3.项目总价为（小写）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pacing w:line="480" w:lineRule="exact"/>
        <w:ind w:firstLine="1575" w:firstLineChars="750"/>
        <w:textAlignment w:val="top"/>
        <w:rPr>
          <w:rFonts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pacing w:line="480" w:lineRule="exact"/>
        <w:ind w:firstLine="420" w:firstLineChars="200"/>
        <w:textAlignment w:val="top"/>
        <w:rPr>
          <w:rFonts w:ascii="宋体" w:hAnsi="宋体" w:cs="宋体"/>
          <w:color w:val="auto"/>
          <w:szCs w:val="21"/>
          <w:highlight w:val="none"/>
          <w:u w:val="single"/>
        </w:rPr>
      </w:pPr>
      <w:r>
        <w:rPr>
          <w:rFonts w:hint="eastAsia" w:ascii="宋体" w:hAnsi="宋体" w:cs="宋体"/>
          <w:color w:val="auto"/>
          <w:szCs w:val="21"/>
          <w:highlight w:val="none"/>
        </w:rPr>
        <w:t>4.服务内容：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pacing w:line="480" w:lineRule="exact"/>
        <w:ind w:firstLine="422" w:firstLineChars="200"/>
        <w:textAlignment w:val="top"/>
        <w:rPr>
          <w:rFonts w:ascii="宋体" w:hAnsi="宋体" w:cs="宋体"/>
          <w:color w:val="auto"/>
          <w:szCs w:val="21"/>
          <w:highlight w:val="none"/>
        </w:rPr>
      </w:pPr>
      <w:r>
        <w:rPr>
          <w:rFonts w:hint="eastAsia" w:ascii="宋体" w:hAnsi="宋体" w:cs="宋体"/>
          <w:b/>
          <w:color w:val="auto"/>
          <w:szCs w:val="21"/>
          <w:highlight w:val="none"/>
        </w:rPr>
        <w:t>第二条  完工期：</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自合同生效之日起，服务期一年。</w:t>
      </w:r>
    </w:p>
    <w:p>
      <w:pPr>
        <w:adjustRightInd w:val="0"/>
        <w:spacing w:line="480" w:lineRule="exact"/>
        <w:ind w:firstLine="422" w:firstLineChars="200"/>
        <w:textAlignment w:val="top"/>
        <w:rPr>
          <w:rFonts w:ascii="宋体" w:hAnsi="宋体" w:cs="宋体"/>
          <w:color w:val="auto"/>
          <w:szCs w:val="21"/>
          <w:highlight w:val="none"/>
        </w:rPr>
      </w:pPr>
      <w:r>
        <w:rPr>
          <w:rFonts w:hint="eastAsia" w:ascii="宋体" w:hAnsi="宋体" w:cs="宋体"/>
          <w:b/>
          <w:color w:val="auto"/>
          <w:szCs w:val="21"/>
          <w:highlight w:val="none"/>
        </w:rPr>
        <w:t>第三条  结算</w:t>
      </w:r>
    </w:p>
    <w:p>
      <w:pPr>
        <w:adjustRightInd w:val="0"/>
        <w:spacing w:line="480" w:lineRule="exact"/>
        <w:ind w:firstLine="420" w:firstLineChars="200"/>
        <w:textAlignment w:val="top"/>
        <w:rPr>
          <w:rFonts w:ascii="宋体" w:hAnsi="宋体" w:cs="宋体"/>
          <w:b/>
          <w:color w:val="auto"/>
          <w:szCs w:val="21"/>
          <w:highlight w:val="none"/>
        </w:rPr>
      </w:pPr>
      <w:r>
        <w:rPr>
          <w:rFonts w:hint="eastAsia" w:ascii="宋体" w:hAnsi="宋体" w:cs="宋体"/>
          <w:color w:val="auto"/>
          <w:szCs w:val="21"/>
          <w:highlight w:val="none"/>
        </w:rPr>
        <w:t>1.项目总价为人民币</w:t>
      </w:r>
      <w:r>
        <w:rPr>
          <w:rFonts w:hint="eastAsia" w:ascii="宋体" w:hAnsi="宋体" w:cs="宋体"/>
          <w:color w:val="auto"/>
          <w:szCs w:val="21"/>
          <w:highlight w:val="none"/>
          <w:lang w:eastAsia="zh-CN"/>
        </w:rPr>
        <w:t>18</w:t>
      </w:r>
      <w:r>
        <w:rPr>
          <w:rFonts w:hint="eastAsia" w:ascii="宋体" w:hAnsi="宋体" w:cs="宋体"/>
          <w:color w:val="auto"/>
          <w:szCs w:val="21"/>
          <w:highlight w:val="none"/>
        </w:rPr>
        <w:t>万元（含税价），最高限价为人民币</w:t>
      </w:r>
      <w:r>
        <w:rPr>
          <w:rFonts w:hint="eastAsia" w:ascii="宋体" w:hAnsi="宋体" w:cs="宋体"/>
          <w:color w:val="auto"/>
          <w:szCs w:val="21"/>
          <w:highlight w:val="none"/>
          <w:lang w:eastAsia="zh-CN"/>
        </w:rPr>
        <w:t>18</w:t>
      </w:r>
      <w:r>
        <w:rPr>
          <w:rFonts w:hint="eastAsia" w:ascii="宋体" w:hAnsi="宋体" w:cs="宋体"/>
          <w:color w:val="auto"/>
          <w:szCs w:val="21"/>
          <w:highlight w:val="none"/>
        </w:rPr>
        <w:t>万元（含税价），按上述预估数量结算，结算价若低于</w:t>
      </w:r>
      <w:r>
        <w:rPr>
          <w:rFonts w:hint="eastAsia" w:ascii="宋体" w:hAnsi="宋体" w:cs="宋体"/>
          <w:color w:val="auto"/>
          <w:szCs w:val="21"/>
          <w:highlight w:val="none"/>
          <w:lang w:eastAsia="zh-CN"/>
        </w:rPr>
        <w:t>18</w:t>
      </w:r>
      <w:r>
        <w:rPr>
          <w:rFonts w:hint="eastAsia" w:ascii="宋体" w:hAnsi="宋体" w:cs="宋体"/>
          <w:color w:val="auto"/>
          <w:szCs w:val="21"/>
          <w:highlight w:val="none"/>
        </w:rPr>
        <w:t>万元，差额资金全部用于档案资料数字化，增加的服务内容，按供应商分项报价中的单价计算。城建档案资料数字化加工服务项目费用分三期进行，其中第一期在202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年度支付，第二、第三期在202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年度支付。各期款项情况如下：</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第一期：项目合同签订后完成工作量</w:t>
      </w:r>
      <w:r>
        <w:rPr>
          <w:rFonts w:hint="eastAsia" w:ascii="宋体" w:hAnsi="宋体" w:cs="宋体"/>
          <w:color w:val="auto"/>
          <w:szCs w:val="21"/>
          <w:highlight w:val="none"/>
          <w:lang w:eastAsia="zh-CN"/>
        </w:rPr>
        <w:t>的</w:t>
      </w:r>
      <w:r>
        <w:rPr>
          <w:rFonts w:hint="eastAsia" w:ascii="宋体" w:hAnsi="宋体" w:cs="宋体"/>
          <w:color w:val="auto"/>
          <w:szCs w:val="21"/>
          <w:highlight w:val="none"/>
        </w:rPr>
        <w:t>35%，提交一次成果资料，成果资料经验收小组检查验收后十五个工作日内</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支付金额18850元；</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第二期：项目合同签订后完成工作量</w:t>
      </w:r>
      <w:r>
        <w:rPr>
          <w:rFonts w:hint="eastAsia" w:ascii="宋体" w:hAnsi="宋体" w:cs="宋体"/>
          <w:color w:val="auto"/>
          <w:szCs w:val="21"/>
          <w:highlight w:val="none"/>
          <w:lang w:eastAsia="zh-CN"/>
        </w:rPr>
        <w:t>的</w:t>
      </w:r>
      <w:r>
        <w:rPr>
          <w:rFonts w:hint="eastAsia" w:ascii="宋体" w:hAnsi="宋体" w:cs="宋体"/>
          <w:color w:val="auto"/>
          <w:szCs w:val="21"/>
          <w:highlight w:val="none"/>
        </w:rPr>
        <w:t>80%</w:t>
      </w:r>
      <w:r>
        <w:rPr>
          <w:rFonts w:hint="eastAsia" w:ascii="宋体" w:hAnsi="宋体" w:cs="宋体"/>
          <w:color w:val="auto"/>
          <w:szCs w:val="21"/>
          <w:highlight w:val="none"/>
          <w:lang w:eastAsia="zh-CN"/>
        </w:rPr>
        <w:t>，</w:t>
      </w:r>
      <w:r>
        <w:rPr>
          <w:rFonts w:hint="eastAsia" w:ascii="宋体" w:hAnsi="宋体" w:cs="宋体"/>
          <w:color w:val="auto"/>
          <w:szCs w:val="21"/>
          <w:highlight w:val="none"/>
        </w:rPr>
        <w:t>提交一次成果资料，成果资料经验收小组检查验收后</w:t>
      </w:r>
      <w:r>
        <w:rPr>
          <w:rFonts w:hint="eastAsia" w:ascii="宋体" w:hAnsi="宋体" w:cs="宋体"/>
          <w:color w:val="auto"/>
          <w:szCs w:val="21"/>
          <w:highlight w:val="none"/>
          <w:lang w:eastAsia="zh-CN"/>
        </w:rPr>
        <w:t>，甲方于</w:t>
      </w:r>
      <w:r>
        <w:rPr>
          <w:rFonts w:hint="eastAsia" w:ascii="宋体" w:hAnsi="宋体" w:cs="宋体"/>
          <w:color w:val="auto"/>
          <w:szCs w:val="21"/>
          <w:highlight w:val="none"/>
          <w:lang w:val="en-US" w:eastAsia="zh-CN"/>
        </w:rPr>
        <w:t>2025年度内</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支付合同金额的</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w:t>
      </w:r>
    </w:p>
    <w:p>
      <w:pPr>
        <w:spacing w:line="48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第三期：项目全部结束经验收小组检查验收后，质保期满（三个月）后</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支付剩余合同余款。</w:t>
      </w:r>
    </w:p>
    <w:p>
      <w:pPr>
        <w:adjustRightInd w:val="0"/>
        <w:spacing w:line="480" w:lineRule="exact"/>
        <w:ind w:firstLine="420" w:firstLineChars="200"/>
        <w:textAlignment w:val="top"/>
        <w:rPr>
          <w:rFonts w:ascii="宋体" w:hAnsi="宋体" w:cs="宋体"/>
          <w:b/>
          <w:color w:val="auto"/>
          <w:szCs w:val="21"/>
          <w:highlight w:val="none"/>
        </w:rPr>
      </w:pPr>
      <w:r>
        <w:rPr>
          <w:rFonts w:hint="eastAsia" w:ascii="宋体" w:hAnsi="宋体" w:cs="宋体"/>
          <w:color w:val="auto"/>
          <w:szCs w:val="21"/>
          <w:highlight w:val="none"/>
        </w:rPr>
        <w:t>2.付款方式：采用支票、银行转账、银行汇付（含电汇）等形式。</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3.每笔款项支付时，乙方同时向甲方提供相应金额的增值税普通发票，且收款方、出具发票方、均必须与服务方合同名称一致，否则，甲方有权拒绝付款。乙方不能按时提供相应金额的正式发票的，甲方的支付时间相应顺延。</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4.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adjustRightInd w:val="0"/>
        <w:spacing w:line="480" w:lineRule="exact"/>
        <w:ind w:firstLine="422" w:firstLineChars="200"/>
        <w:textAlignment w:val="top"/>
        <w:rPr>
          <w:rFonts w:ascii="宋体" w:hAnsi="宋体" w:cs="宋体"/>
          <w:b/>
          <w:color w:val="auto"/>
          <w:szCs w:val="21"/>
          <w:highlight w:val="none"/>
        </w:rPr>
      </w:pPr>
      <w:r>
        <w:rPr>
          <w:rFonts w:hint="eastAsia" w:ascii="宋体" w:hAnsi="宋体" w:cs="宋体"/>
          <w:b/>
          <w:color w:val="auto"/>
          <w:szCs w:val="21"/>
          <w:highlight w:val="none"/>
        </w:rPr>
        <w:t>第四条  服务承诺</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乙方须严格遵守其响应文件中承诺的服务条款执行。</w:t>
      </w:r>
    </w:p>
    <w:p>
      <w:pPr>
        <w:adjustRightInd w:val="0"/>
        <w:spacing w:line="480" w:lineRule="exact"/>
        <w:ind w:firstLine="422" w:firstLineChars="200"/>
        <w:textAlignment w:val="top"/>
        <w:rPr>
          <w:rFonts w:ascii="宋体" w:hAnsi="宋体" w:cs="宋体"/>
          <w:b/>
          <w:color w:val="auto"/>
          <w:szCs w:val="21"/>
          <w:highlight w:val="none"/>
        </w:rPr>
      </w:pPr>
      <w:r>
        <w:rPr>
          <w:rFonts w:hint="eastAsia" w:ascii="宋体" w:hAnsi="宋体" w:cs="宋体"/>
          <w:b/>
          <w:color w:val="auto"/>
          <w:szCs w:val="21"/>
          <w:highlight w:val="none"/>
        </w:rPr>
        <w:t>第五条  违约责任</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乙方对整理的资料保密，未经甲方书面同意，不得用作其他用途。乙方存在以下违约行为的，甲方则有权单方随时终止合同，且乙方应当赔付采购方全部项目支付资金：</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（一）不接受采购方的监管；　　</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（二）遇到问题不及时向采购方汇报其情况；　　</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（三）项目未按甲方约定进度要求完成，超出合同服务期未能全部完成、验收合格并交付的；　　</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（四）乙方未按双方签订的采购合同约定条款执行情况。　　</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（五）未经甲方书面同意，将项目分包、转包给其他乙方的；</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（六）乙方提供的服务侵犯任何第三方知识产权、专利权等相关权利的；</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（七）其他致使合同无法正常履行的行为。</w:t>
      </w:r>
    </w:p>
    <w:p>
      <w:pPr>
        <w:adjustRightInd w:val="0"/>
        <w:spacing w:line="480" w:lineRule="exact"/>
        <w:ind w:firstLine="422" w:firstLineChars="200"/>
        <w:textAlignment w:val="top"/>
        <w:rPr>
          <w:rFonts w:ascii="微软雅黑" w:hAnsi="微软雅黑" w:eastAsia="微软雅黑" w:cs="微软雅黑"/>
          <w:color w:val="auto"/>
          <w:sz w:val="22"/>
          <w:szCs w:val="22"/>
          <w:highlight w:val="none"/>
          <w:shd w:val="clear" w:color="auto" w:fill="FFFFFF"/>
        </w:rPr>
      </w:pPr>
      <w:r>
        <w:rPr>
          <w:rFonts w:hint="eastAsia" w:ascii="宋体" w:hAnsi="宋体" w:cs="宋体"/>
          <w:b/>
          <w:color w:val="auto"/>
          <w:szCs w:val="21"/>
          <w:highlight w:val="none"/>
        </w:rPr>
        <w:t>第六条 违约处理</w:t>
      </w:r>
      <w:r>
        <w:rPr>
          <w:rFonts w:hint="eastAsia" w:ascii="微软雅黑" w:hAnsi="微软雅黑" w:eastAsia="微软雅黑" w:cs="微软雅黑"/>
          <w:color w:val="auto"/>
          <w:sz w:val="22"/>
          <w:szCs w:val="22"/>
          <w:highlight w:val="none"/>
          <w:shd w:val="clear" w:color="auto" w:fill="FFFFFF"/>
        </w:rPr>
        <w:t>　　</w:t>
      </w:r>
    </w:p>
    <w:p>
      <w:pPr>
        <w:adjustRightInd w:val="0"/>
        <w:spacing w:line="480" w:lineRule="exact"/>
        <w:ind w:firstLine="420" w:firstLineChars="200"/>
        <w:textAlignment w:val="top"/>
        <w:rPr>
          <w:rFonts w:ascii="微软雅黑" w:hAnsi="微软雅黑" w:eastAsia="微软雅黑" w:cs="微软雅黑"/>
          <w:color w:val="auto"/>
          <w:highlight w:val="none"/>
        </w:rPr>
      </w:pPr>
      <w:r>
        <w:rPr>
          <w:rFonts w:hint="eastAsia" w:ascii="宋体" w:hAnsi="宋体" w:cs="宋体"/>
          <w:color w:val="auto"/>
          <w:szCs w:val="21"/>
          <w:highlight w:val="none"/>
        </w:rPr>
        <w:t>供应商存在违约责任情况的，甲方有权向乙方收取项目总价款3%的违约金。</w:t>
      </w:r>
    </w:p>
    <w:p>
      <w:pPr>
        <w:adjustRightInd w:val="0"/>
        <w:spacing w:line="480" w:lineRule="exact"/>
        <w:ind w:firstLine="422" w:firstLineChars="200"/>
        <w:textAlignment w:val="top"/>
        <w:rPr>
          <w:rFonts w:ascii="宋体" w:hAnsi="宋体" w:cs="宋体"/>
          <w:color w:val="auto"/>
          <w:szCs w:val="21"/>
          <w:highlight w:val="none"/>
          <w:u w:val="single"/>
        </w:rPr>
      </w:pPr>
      <w:r>
        <w:rPr>
          <w:rFonts w:hint="eastAsia" w:ascii="宋体" w:hAnsi="宋体" w:cs="宋体"/>
          <w:b/>
          <w:color w:val="auto"/>
          <w:szCs w:val="21"/>
          <w:highlight w:val="none"/>
        </w:rPr>
        <w:t>第七条 争议处理</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一）凡与合同有关而引起的一切争议，双方当事人应当及时协商解决；协商不成时，向甲方所在地人民法院起诉。因履行本合同产生争议的，因此产生的相应费用（包括但不限于公证费、评估费、鉴定费、保全费、诉讼费、送达费、执行费、交通费、住宿费、律师费等全部费用）由败诉方承担。</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（二）在进行法院审理期间，除提交法院审理的事项外，合同其他部分仍应继续履行。</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（三）合同按照中华人民共和国的法律进行解释。</w:t>
      </w:r>
    </w:p>
    <w:p>
      <w:pPr>
        <w:adjustRightInd w:val="0"/>
        <w:spacing w:line="480" w:lineRule="exact"/>
        <w:ind w:firstLine="422" w:firstLineChars="200"/>
        <w:textAlignment w:val="top"/>
        <w:rPr>
          <w:rFonts w:ascii="宋体" w:hAnsi="宋体" w:cs="宋体"/>
          <w:color w:val="auto"/>
          <w:szCs w:val="21"/>
          <w:highlight w:val="none"/>
          <w:u w:val="single"/>
        </w:rPr>
      </w:pPr>
      <w:r>
        <w:rPr>
          <w:rFonts w:hint="eastAsia" w:ascii="宋体" w:hAnsi="宋体" w:cs="宋体"/>
          <w:b/>
          <w:color w:val="auto"/>
          <w:szCs w:val="21"/>
          <w:highlight w:val="none"/>
        </w:rPr>
        <w:t>第八条 其他</w:t>
      </w:r>
    </w:p>
    <w:p>
      <w:pPr>
        <w:adjustRightInd w:val="0"/>
        <w:spacing w:line="480" w:lineRule="exact"/>
        <w:ind w:firstLine="420" w:firstLineChars="200"/>
        <w:textAlignment w:val="top"/>
        <w:rPr>
          <w:rFonts w:ascii="宋体" w:hAnsi="宋体" w:cs="宋体"/>
          <w:color w:val="auto"/>
          <w:szCs w:val="21"/>
          <w:highlight w:val="none"/>
          <w:u w:val="single"/>
        </w:rPr>
      </w:pPr>
      <w:r>
        <w:rPr>
          <w:rFonts w:hint="eastAsia" w:ascii="宋体" w:hAnsi="宋体" w:cs="宋体"/>
          <w:color w:val="auto"/>
          <w:szCs w:val="21"/>
          <w:highlight w:val="none"/>
        </w:rPr>
        <w:t>响应文件为本合同不可分割的组成部分，双方应共同遵守执行，未尽事宜经双方协商可作补充或修改。</w:t>
      </w:r>
    </w:p>
    <w:p>
      <w:pPr>
        <w:adjustRightInd w:val="0"/>
        <w:spacing w:line="480" w:lineRule="exact"/>
        <w:ind w:firstLine="422" w:firstLineChars="200"/>
        <w:textAlignment w:val="top"/>
        <w:rPr>
          <w:rFonts w:ascii="宋体" w:hAnsi="宋体" w:cs="宋体"/>
          <w:color w:val="auto"/>
          <w:szCs w:val="21"/>
          <w:highlight w:val="none"/>
          <w:u w:val="single"/>
        </w:rPr>
      </w:pPr>
      <w:r>
        <w:rPr>
          <w:rFonts w:hint="eastAsia" w:ascii="宋体" w:hAnsi="宋体" w:cs="宋体"/>
          <w:b/>
          <w:color w:val="auto"/>
          <w:szCs w:val="21"/>
          <w:highlight w:val="none"/>
        </w:rPr>
        <w:t>第九条  附则</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1.本合同一式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2.本合同自双方签字盖章后生效。</w:t>
      </w:r>
    </w:p>
    <w:p>
      <w:pPr>
        <w:adjustRightInd w:val="0"/>
        <w:spacing w:line="480" w:lineRule="exact"/>
        <w:ind w:firstLine="420" w:firstLineChars="200"/>
        <w:textAlignment w:val="top"/>
        <w:rPr>
          <w:rFonts w:ascii="宋体" w:hAnsi="宋体" w:cs="宋体"/>
          <w:color w:val="auto"/>
          <w:szCs w:val="21"/>
          <w:highlight w:val="none"/>
        </w:rPr>
      </w:pPr>
      <w:r>
        <w:rPr>
          <w:rFonts w:hint="eastAsia" w:ascii="宋体" w:hAnsi="宋体" w:cs="宋体"/>
          <w:color w:val="auto"/>
          <w:szCs w:val="21"/>
          <w:highlight w:val="none"/>
        </w:rPr>
        <w:t>3.双方确认，本合同所有的通知、告知、报告等均是指书面形式。在本合同履行过程中，所有通知、文件、文书、资料等，均可以向本合同约定的地址和联系人或营业执照所列明的住所地进行送达，任何一方如果迁址、变更电话、电邮，应当提前3日书面通知对方，未履行书面通知义务的，一方按原地址或联络方式邮寄相关材料或通知相关信息即视为已履行送达义务。当面交付上述材料的，在交付之时视为送达；以邮寄、短信、电邮方式交付的，寄出、发出或者投邮后即视为送达。</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甲方：                            乙方：</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法定代表人/负责人：               法定代表人/负责人：</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委托代理人：                      委托代理人：</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地址：                            地址：</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开户银行：                        开户银行：</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帐号：                            帐号：</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电话：                            电话：</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日期：                            日期：</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签约地点：</w:t>
      </w:r>
    </w:p>
    <w:p>
      <w:pPr>
        <w:spacing w:line="480" w:lineRule="exact"/>
        <w:rPr>
          <w:rFonts w:ascii="宋体" w:hAnsi="宋体" w:cs="宋体"/>
          <w:color w:val="auto"/>
          <w:szCs w:val="21"/>
          <w:highlight w:val="none"/>
        </w:rPr>
      </w:pPr>
      <w:r>
        <w:rPr>
          <w:rFonts w:hint="eastAsia" w:ascii="宋体" w:hAnsi="宋体" w:cs="宋体"/>
          <w:color w:val="auto"/>
          <w:szCs w:val="21"/>
          <w:highlight w:val="none"/>
        </w:rPr>
        <w:t xml:space="preserve"> 注：本范本仅供形式上的参考，具体条款内容由采购人和供应商协商确定。</w:t>
      </w:r>
      <w:bookmarkEnd w:id="50"/>
      <w:bookmarkEnd w:id="51"/>
      <w:bookmarkEnd w:id="52"/>
      <w:bookmarkEnd w:id="53"/>
      <w:bookmarkEnd w:id="54"/>
      <w:bookmarkStart w:id="60" w:name="_Toc99635337"/>
    </w:p>
    <w:p>
      <w:pPr>
        <w:spacing w:before="60" w:after="60" w:line="360" w:lineRule="auto"/>
        <w:ind w:firstLine="482"/>
        <w:rPr>
          <w:rFonts w:ascii="仿宋" w:hAnsi="仿宋" w:eastAsia="仿宋"/>
          <w:color w:val="auto"/>
          <w:sz w:val="30"/>
          <w:szCs w:val="30"/>
          <w:highlight w:val="none"/>
        </w:rPr>
      </w:pPr>
    </w:p>
    <w:p>
      <w:pPr>
        <w:keepNext/>
        <w:keepLines/>
        <w:widowControl/>
        <w:autoSpaceDE w:val="0"/>
        <w:autoSpaceDN w:val="0"/>
        <w:adjustRightInd w:val="0"/>
        <w:spacing w:line="480" w:lineRule="exact"/>
        <w:outlineLvl w:val="0"/>
        <w:rPr>
          <w:rFonts w:hint="eastAsia" w:ascii="宋体" w:hAnsi="宋体"/>
          <w:b/>
          <w:color w:val="auto"/>
          <w:kern w:val="44"/>
          <w:sz w:val="28"/>
          <w:szCs w:val="28"/>
          <w:highlight w:val="none"/>
        </w:rPr>
      </w:pPr>
    </w:p>
    <w:p>
      <w:pPr>
        <w:keepNext/>
        <w:keepLines/>
        <w:widowControl/>
        <w:autoSpaceDE w:val="0"/>
        <w:autoSpaceDN w:val="0"/>
        <w:adjustRightInd w:val="0"/>
        <w:spacing w:line="480" w:lineRule="exact"/>
        <w:outlineLvl w:val="0"/>
        <w:rPr>
          <w:rFonts w:ascii="宋体" w:hAnsi="宋体"/>
          <w:b/>
          <w:color w:val="auto"/>
          <w:kern w:val="44"/>
          <w:sz w:val="28"/>
          <w:szCs w:val="28"/>
          <w:highlight w:val="none"/>
        </w:rPr>
      </w:pPr>
    </w:p>
    <w:p>
      <w:pPr>
        <w:keepNext/>
        <w:keepLines/>
        <w:widowControl/>
        <w:autoSpaceDE w:val="0"/>
        <w:autoSpaceDN w:val="0"/>
        <w:adjustRightInd w:val="0"/>
        <w:spacing w:line="480" w:lineRule="exact"/>
        <w:jc w:val="center"/>
        <w:outlineLvl w:val="0"/>
        <w:rPr>
          <w:rFonts w:ascii="宋体" w:hAnsi="宋体"/>
          <w:b/>
          <w:color w:val="auto"/>
          <w:kern w:val="44"/>
          <w:sz w:val="28"/>
          <w:szCs w:val="28"/>
          <w:highlight w:val="none"/>
        </w:rPr>
      </w:pPr>
      <w:r>
        <w:rPr>
          <w:rFonts w:ascii="宋体" w:hAnsi="宋体"/>
          <w:b/>
          <w:color w:val="auto"/>
          <w:kern w:val="44"/>
          <w:sz w:val="28"/>
          <w:szCs w:val="28"/>
          <w:highlight w:val="none"/>
        </w:rPr>
        <w:t>响应文件格式</w:t>
      </w:r>
      <w:bookmarkEnd w:id="55"/>
      <w:bookmarkEnd w:id="56"/>
      <w:bookmarkEnd w:id="57"/>
      <w:bookmarkEnd w:id="58"/>
      <w:bookmarkEnd w:id="59"/>
      <w:bookmarkEnd w:id="60"/>
    </w:p>
    <w:p>
      <w:pPr>
        <w:spacing w:line="480" w:lineRule="exact"/>
        <w:ind w:firstLine="422" w:firstLineChars="200"/>
        <w:rPr>
          <w:rFonts w:ascii="宋体" w:hAnsi="宋体" w:cs="宋体"/>
          <w:b/>
          <w:color w:val="auto"/>
          <w:szCs w:val="21"/>
          <w:highlight w:val="none"/>
        </w:rPr>
      </w:pPr>
      <w:bookmarkStart w:id="61" w:name="_Toc99635338"/>
      <w:bookmarkStart w:id="62" w:name="_Toc476976200"/>
      <w:bookmarkStart w:id="63" w:name="_Toc458262638"/>
      <w:bookmarkStart w:id="64" w:name="_Toc454701405"/>
      <w:bookmarkStart w:id="65" w:name="_Toc467236768"/>
      <w:bookmarkStart w:id="66" w:name="_Toc486671572"/>
      <w:r>
        <w:rPr>
          <w:rFonts w:hint="eastAsia" w:ascii="宋体" w:hAnsi="宋体" w:cs="宋体"/>
          <w:b/>
          <w:color w:val="auto"/>
          <w:szCs w:val="21"/>
          <w:highlight w:val="none"/>
        </w:rPr>
        <w:t>一、</w:t>
      </w:r>
      <w:bookmarkEnd w:id="61"/>
      <w:bookmarkStart w:id="67" w:name="_Toc99635339"/>
      <w:r>
        <w:rPr>
          <w:rFonts w:hint="eastAsia" w:ascii="宋体" w:hAnsi="宋体" w:cs="宋体"/>
          <w:b/>
          <w:color w:val="auto"/>
          <w:szCs w:val="21"/>
          <w:highlight w:val="none"/>
        </w:rPr>
        <w:t>响应书</w:t>
      </w:r>
      <w:bookmarkEnd w:id="67"/>
      <w:bookmarkStart w:id="68" w:name="_Hlt463142407"/>
      <w:bookmarkEnd w:id="68"/>
    </w:p>
    <w:p>
      <w:pPr>
        <w:widowControl/>
        <w:autoSpaceDN w:val="0"/>
        <w:spacing w:line="480" w:lineRule="exact"/>
        <w:rPr>
          <w:rFonts w:ascii="宋体" w:hAnsi="宋体"/>
          <w:color w:val="auto"/>
          <w:szCs w:val="21"/>
          <w:highlight w:val="none"/>
        </w:rPr>
      </w:pPr>
      <w:r>
        <w:rPr>
          <w:rFonts w:ascii="宋体" w:hAnsi="宋体"/>
          <w:color w:val="auto"/>
          <w:szCs w:val="21"/>
          <w:highlight w:val="none"/>
        </w:rPr>
        <w:t>致：</w:t>
      </w:r>
      <w:r>
        <w:rPr>
          <w:rFonts w:ascii="宋体" w:hAnsi="宋体"/>
          <w:color w:val="auto"/>
          <w:szCs w:val="21"/>
          <w:highlight w:val="none"/>
          <w:u w:val="single"/>
        </w:rPr>
        <w:t>江门市住房和城乡建设档案馆（下称“贵单位”）</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现对</w:t>
      </w:r>
      <w:r>
        <w:rPr>
          <w:rFonts w:hint="eastAsia" w:ascii="宋体" w:hAnsi="宋体" w:cs="宋体"/>
          <w:color w:val="auto"/>
          <w:szCs w:val="21"/>
          <w:highlight w:val="none"/>
          <w:u w:val="single"/>
        </w:rPr>
        <w:t>2024年城建档案资料数字化加工服务项目</w:t>
      </w:r>
      <w:r>
        <w:rPr>
          <w:rFonts w:hint="eastAsia" w:ascii="宋体" w:hAnsi="宋体" w:cs="宋体"/>
          <w:color w:val="auto"/>
          <w:szCs w:val="21"/>
          <w:highlight w:val="none"/>
        </w:rPr>
        <w:t>的采购需求，我单位承诺如下：</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1.签字代表</w:t>
      </w:r>
      <w:r>
        <w:rPr>
          <w:rFonts w:hint="eastAsia" w:ascii="宋体" w:hAnsi="宋体" w:cs="宋体"/>
          <w:color w:val="auto"/>
          <w:szCs w:val="21"/>
          <w:highlight w:val="none"/>
          <w:u w:val="single"/>
        </w:rPr>
        <w:t>（姓名、职务）</w:t>
      </w:r>
      <w:r>
        <w:rPr>
          <w:rFonts w:hint="eastAsia" w:ascii="宋体" w:hAnsi="宋体" w:cs="宋体"/>
          <w:color w:val="auto"/>
          <w:szCs w:val="21"/>
          <w:highlight w:val="none"/>
        </w:rPr>
        <w:t>经正式授权并代表我单位</w:t>
      </w:r>
      <w:r>
        <w:rPr>
          <w:rFonts w:hint="eastAsia" w:ascii="宋体" w:hAnsi="宋体" w:cs="宋体"/>
          <w:color w:val="auto"/>
          <w:szCs w:val="21"/>
          <w:highlight w:val="none"/>
          <w:u w:val="single"/>
        </w:rPr>
        <w:t>（供应商名称、地址）</w:t>
      </w:r>
      <w:r>
        <w:rPr>
          <w:rFonts w:hint="eastAsia" w:ascii="宋体" w:hAnsi="宋体" w:cs="宋体"/>
          <w:color w:val="auto"/>
          <w:szCs w:val="21"/>
          <w:highlight w:val="none"/>
        </w:rPr>
        <w:t>提交响应文件。</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我单位愿意参加本次项目的响应，并在确定为供应商后按采购需求文件规定履行义务。</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我单位已详细查阅采购需求文件的所有内容，我单位完全理解采购需求文件的内容，不存在对采购需求文件不明白和误解。</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4.响应文件中所提交的所有资料均是准确和真实的，否则，我单位愿意放弃被确定为供应商的权利，并接受有关采购监督管理部门的处罚。</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5.响应有效期为90个日历日，自综合评定之日起计算。</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6.如果综合评定后我单位在响应有效期内撤回，我单位愿意承担贵单位由此而产生的损失。</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 我单位同意按贵单位的要求和采购需求文件的要求提供有关的一切资料。</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8.与本响应有关的一切正式往来通讯请寄：</w:t>
      </w:r>
      <w:r>
        <w:rPr>
          <w:rFonts w:hint="eastAsia" w:ascii="宋体" w:hAnsi="宋体" w:cs="宋体"/>
          <w:color w:val="auto"/>
          <w:szCs w:val="21"/>
          <w:highlight w:val="none"/>
          <w:u w:val="single"/>
        </w:rPr>
        <w:t xml:space="preserve">                     </w:t>
      </w:r>
    </w:p>
    <w:p>
      <w:pPr>
        <w:spacing w:line="480" w:lineRule="exact"/>
        <w:ind w:firstLine="420" w:firstLineChars="200"/>
        <w:rPr>
          <w:rFonts w:ascii="宋体" w:hAnsi="宋体" w:cs="宋体"/>
          <w:color w:val="auto"/>
          <w:szCs w:val="21"/>
          <w:highlight w:val="none"/>
        </w:rPr>
      </w:pP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（盖公章）               </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供应商代表姓名、职务及联系电话（印刷体）：</w:t>
      </w:r>
      <w:r>
        <w:rPr>
          <w:rFonts w:hint="eastAsia" w:ascii="宋体" w:hAnsi="宋体" w:cs="宋体"/>
          <w:color w:val="auto"/>
          <w:szCs w:val="21"/>
          <w:highlight w:val="none"/>
          <w:u w:val="single"/>
        </w:rPr>
        <w:t xml:space="preserve">                      </w:t>
      </w:r>
    </w:p>
    <w:p>
      <w:pPr>
        <w:spacing w:line="4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62"/>
      <w:bookmarkEnd w:id="63"/>
      <w:bookmarkEnd w:id="64"/>
      <w:bookmarkEnd w:id="65"/>
      <w:bookmarkEnd w:id="66"/>
      <w:bookmarkStart w:id="69" w:name="_Toc454701406"/>
      <w:bookmarkStart w:id="70" w:name="_Toc467236769"/>
      <w:bookmarkStart w:id="71" w:name="_Toc458262639"/>
      <w:bookmarkStart w:id="72" w:name="_Toc99635340"/>
      <w:bookmarkStart w:id="73" w:name="_Toc486671573"/>
      <w:bookmarkStart w:id="74" w:name="_Toc476976201"/>
    </w:p>
    <w:p>
      <w:pPr>
        <w:keepNext/>
        <w:keepLines/>
        <w:widowControl/>
        <w:spacing w:line="480" w:lineRule="exact"/>
        <w:outlineLvl w:val="1"/>
        <w:rPr>
          <w:rFonts w:ascii="宋体" w:hAnsi="宋体" w:cs="宋体"/>
          <w:b/>
          <w:bCs/>
          <w:color w:val="auto"/>
          <w:sz w:val="32"/>
          <w:szCs w:val="21"/>
          <w:highlight w:val="none"/>
        </w:rPr>
      </w:pPr>
      <w:r>
        <w:rPr>
          <w:rFonts w:hint="eastAsia" w:ascii="宋体" w:hAnsi="宋体" w:cs="宋体"/>
          <w:b/>
          <w:bCs/>
          <w:color w:val="auto"/>
          <w:szCs w:val="21"/>
          <w:highlight w:val="none"/>
        </w:rPr>
        <w:t>二、响应报价一览表</w:t>
      </w:r>
      <w:bookmarkEnd w:id="69"/>
      <w:bookmarkEnd w:id="70"/>
      <w:bookmarkEnd w:id="71"/>
      <w:bookmarkEnd w:id="72"/>
      <w:bookmarkEnd w:id="73"/>
      <w:bookmarkEnd w:id="74"/>
    </w:p>
    <w:tbl>
      <w:tblPr>
        <w:tblStyle w:val="5"/>
        <w:tblpPr w:leftFromText="180" w:rightFromText="180" w:vertAnchor="text" w:horzAnchor="margin" w:tblpY="38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1755"/>
        <w:gridCol w:w="151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firstLine="422" w:firstLineChars="200"/>
              <w:jc w:val="center"/>
              <w:rPr>
                <w:rFonts w:ascii="宋体" w:hAnsi="宋体" w:cs="宋体"/>
                <w:b/>
                <w:color w:val="auto"/>
                <w:szCs w:val="21"/>
                <w:highlight w:val="none"/>
              </w:rPr>
            </w:pPr>
            <w:r>
              <w:rPr>
                <w:rFonts w:hint="eastAsia" w:ascii="宋体" w:hAnsi="宋体" w:cs="宋体"/>
                <w:b/>
                <w:color w:val="auto"/>
                <w:szCs w:val="21"/>
                <w:highlight w:val="none"/>
              </w:rPr>
              <w:t>供应商名称</w:t>
            </w: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jc w:val="center"/>
              <w:rPr>
                <w:rFonts w:ascii="宋体" w:hAnsi="宋体" w:cs="宋体"/>
                <w:b/>
                <w:color w:val="auto"/>
                <w:szCs w:val="21"/>
                <w:highlight w:val="none"/>
              </w:rPr>
            </w:pPr>
            <w:r>
              <w:rPr>
                <w:rFonts w:hint="eastAsia" w:ascii="宋体" w:hAnsi="宋体" w:cs="宋体"/>
                <w:b/>
                <w:color w:val="auto"/>
                <w:szCs w:val="21"/>
                <w:highlight w:val="none"/>
              </w:rPr>
              <w:t>响应报价</w:t>
            </w:r>
          </w:p>
          <w:p>
            <w:pPr>
              <w:spacing w:line="480" w:lineRule="exact"/>
              <w:jc w:val="center"/>
              <w:rPr>
                <w:rFonts w:ascii="宋体" w:hAnsi="宋体" w:cs="宋体"/>
                <w:b/>
                <w:color w:val="auto"/>
                <w:szCs w:val="21"/>
                <w:highlight w:val="none"/>
              </w:rPr>
            </w:pPr>
            <w:r>
              <w:rPr>
                <w:rFonts w:hint="eastAsia" w:ascii="宋体" w:hAnsi="宋体" w:cs="宋体"/>
                <w:b/>
                <w:color w:val="auto"/>
                <w:szCs w:val="21"/>
                <w:highlight w:val="none"/>
              </w:rPr>
              <w:t>（元）</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宋体" w:hAnsi="宋体" w:cs="宋体"/>
                <w:b/>
                <w:color w:val="auto"/>
                <w:szCs w:val="21"/>
                <w:highlight w:val="none"/>
              </w:rPr>
            </w:pPr>
            <w:r>
              <w:rPr>
                <w:rFonts w:hint="eastAsia" w:ascii="宋体" w:hAnsi="宋体" w:cs="宋体"/>
                <w:b/>
                <w:color w:val="auto"/>
                <w:szCs w:val="21"/>
                <w:highlight w:val="none"/>
              </w:rPr>
              <w:t>完工期</w:t>
            </w: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宋体" w:hAnsi="宋体" w:cs="宋体"/>
                <w:b/>
                <w:color w:val="auto"/>
                <w:szCs w:val="21"/>
                <w:highlight w:val="none"/>
              </w:rPr>
            </w:pP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ind w:firstLine="422" w:firstLineChars="200"/>
              <w:rPr>
                <w:rFonts w:ascii="宋体" w:hAnsi="宋体" w:cs="宋体"/>
                <w:b/>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cs="宋体"/>
                <w:color w:val="auto"/>
                <w:szCs w:val="21"/>
                <w:highlight w:val="none"/>
              </w:rPr>
            </w:pP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cs="宋体"/>
                <w:color w:val="auto"/>
                <w:szCs w:val="21"/>
                <w:highlight w:val="none"/>
              </w:rPr>
            </w:pPr>
          </w:p>
        </w:tc>
      </w:tr>
    </w:tbl>
    <w:p>
      <w:pPr>
        <w:ind w:firstLine="420" w:firstLineChars="200"/>
        <w:jc w:val="center"/>
        <w:rPr>
          <w:rFonts w:ascii="Calibri" w:hAnsi="宋体" w:cs="宋体"/>
          <w:bCs/>
          <w:color w:val="auto"/>
          <w:szCs w:val="21"/>
          <w:highlight w:val="none"/>
        </w:rPr>
      </w:pPr>
      <w:r>
        <w:rPr>
          <w:rFonts w:ascii="Calibri" w:hAnsi="宋体" w:cs="宋体"/>
          <w:bCs/>
          <w:color w:val="auto"/>
          <w:szCs w:val="21"/>
          <w:highlight w:val="none"/>
        </w:rPr>
        <w:t xml:space="preserve">                                                        单位：人民币</w:t>
      </w:r>
    </w:p>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cs="宋体"/>
          <w:color w:val="auto"/>
          <w:szCs w:val="21"/>
          <w:highlight w:val="none"/>
        </w:rPr>
      </w:pPr>
      <w:r>
        <w:rPr>
          <w:rFonts w:hint="eastAsia" w:ascii="宋体" w:hAnsi="宋体" w:cs="宋体"/>
          <w:color w:val="auto"/>
          <w:szCs w:val="21"/>
          <w:highlight w:val="none"/>
        </w:rPr>
        <w:t>注：1、供应商的响应报价须以人民币为单位，应包含人工成本、投入的设备成本、材料成本、管理费、利润、税金、费用等完成本项目的一切费用的总和。</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Arial"/>
          <w:color w:val="auto"/>
          <w:kern w:val="11"/>
          <w:szCs w:val="21"/>
          <w:highlight w:val="none"/>
        </w:rPr>
        <w:t>响应报价</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18</w:t>
      </w:r>
      <w:r>
        <w:rPr>
          <w:rFonts w:hint="eastAsia" w:ascii="宋体" w:hAnsi="宋体" w:cs="宋体"/>
          <w:color w:val="auto"/>
          <w:szCs w:val="21"/>
          <w:highlight w:val="none"/>
        </w:rPr>
        <w:t>万元（含税）；最高限价为人民币</w:t>
      </w:r>
      <w:r>
        <w:rPr>
          <w:rFonts w:hint="eastAsia" w:ascii="宋体" w:hAnsi="宋体" w:cs="宋体"/>
          <w:color w:val="auto"/>
          <w:szCs w:val="21"/>
          <w:highlight w:val="none"/>
          <w:lang w:eastAsia="zh-CN"/>
        </w:rPr>
        <w:t>18</w:t>
      </w:r>
      <w:r>
        <w:rPr>
          <w:rFonts w:hint="eastAsia" w:ascii="宋体" w:hAnsi="宋体" w:cs="宋体"/>
          <w:color w:val="auto"/>
          <w:szCs w:val="21"/>
          <w:highlight w:val="none"/>
        </w:rPr>
        <w:t>万元（含税），响应报价不得超过最高限价。</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3、完工期：自合同生效之日起，服务期一年。</w:t>
      </w:r>
    </w:p>
    <w:p>
      <w:pPr>
        <w:spacing w:before="50"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4、供应商认为有必要说明而本表中无相应栏目的，请在“备注”一栏中说明。</w:t>
      </w:r>
    </w:p>
    <w:p>
      <w:pPr>
        <w:spacing w:line="360" w:lineRule="auto"/>
        <w:ind w:firstLine="480"/>
        <w:rPr>
          <w:rFonts w:ascii="宋体" w:hAnsi="宋体" w:cs="宋体"/>
          <w:color w:val="auto"/>
          <w:szCs w:val="21"/>
          <w:highlight w:val="none"/>
          <w:u w:val="single"/>
        </w:rPr>
      </w:pPr>
      <w:r>
        <w:rPr>
          <w:rFonts w:hint="eastAsia" w:ascii="宋体" w:hAnsi="宋体" w:cs="宋体"/>
          <w:b/>
          <w:color w:val="auto"/>
          <w:szCs w:val="21"/>
          <w:highlight w:val="none"/>
        </w:rPr>
        <w:t>供应商代表签字及盖公章：</w:t>
      </w:r>
      <w:r>
        <w:rPr>
          <w:rFonts w:hint="eastAsia" w:ascii="宋体" w:hAnsi="宋体" w:cs="宋体"/>
          <w:color w:val="auto"/>
          <w:szCs w:val="21"/>
          <w:highlight w:val="none"/>
          <w:u w:val="single"/>
        </w:rPr>
        <w:t xml:space="preserve">                       </w:t>
      </w:r>
    </w:p>
    <w:p>
      <w:pPr>
        <w:spacing w:line="360" w:lineRule="auto"/>
        <w:ind w:firstLine="480"/>
        <w:rPr>
          <w:rFonts w:ascii="宋体" w:hAnsi="宋体" w:cs="宋体"/>
          <w:color w:val="auto"/>
          <w:szCs w:val="21"/>
          <w:highlight w:val="none"/>
          <w:u w:val="single"/>
        </w:rPr>
      </w:pPr>
    </w:p>
    <w:p>
      <w:pPr>
        <w:keepNext/>
        <w:keepLines/>
        <w:widowControl/>
        <w:spacing w:line="480" w:lineRule="exact"/>
        <w:outlineLvl w:val="1"/>
        <w:rPr>
          <w:rFonts w:ascii="宋体" w:hAnsi="宋体" w:cs="宋体"/>
          <w:b/>
          <w:color w:val="auto"/>
          <w:szCs w:val="21"/>
          <w:highlight w:val="none"/>
        </w:rPr>
      </w:pPr>
      <w:bookmarkStart w:id="75" w:name="_Toc76046911"/>
      <w:bookmarkStart w:id="76" w:name="_Toc99635341"/>
      <w:bookmarkStart w:id="77" w:name="_Toc468606065"/>
      <w:bookmarkStart w:id="78" w:name="_Toc35233726"/>
      <w:bookmarkStart w:id="79" w:name="_Toc480010743"/>
      <w:bookmarkStart w:id="80" w:name="_Toc454701411"/>
      <w:bookmarkStart w:id="81" w:name="_Toc480171915"/>
      <w:bookmarkStart w:id="82" w:name="_Toc480021086"/>
      <w:bookmarkStart w:id="83" w:name="_Toc467987857"/>
      <w:bookmarkStart w:id="84" w:name="_Toc458262644"/>
      <w:bookmarkStart w:id="85" w:name="_Toc467236774"/>
      <w:bookmarkStart w:id="86" w:name="_Toc110953865"/>
      <w:bookmarkStart w:id="87" w:name="_Toc468157570"/>
      <w:bookmarkStart w:id="88" w:name="_Toc480020290"/>
      <w:bookmarkStart w:id="89" w:name="_Toc479991617"/>
      <w:r>
        <w:rPr>
          <w:rFonts w:hint="eastAsia" w:ascii="宋体" w:hAnsi="宋体" w:cs="宋体"/>
          <w:b/>
          <w:bCs/>
          <w:color w:val="auto"/>
          <w:szCs w:val="21"/>
          <w:highlight w:val="none"/>
        </w:rPr>
        <w:t>三、</w:t>
      </w:r>
      <w:bookmarkStart w:id="90" w:name="_Toc66095212"/>
      <w:r>
        <w:rPr>
          <w:rFonts w:hint="eastAsia" w:ascii="宋体" w:hAnsi="宋体" w:cs="宋体"/>
          <w:b/>
          <w:bCs/>
          <w:color w:val="auto"/>
          <w:szCs w:val="21"/>
          <w:highlight w:val="none"/>
        </w:rPr>
        <w:t>响应报价明细表</w:t>
      </w:r>
      <w:bookmarkEnd w:id="75"/>
      <w:bookmarkEnd w:id="76"/>
      <w:bookmarkEnd w:id="90"/>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auto"/>
          <w:szCs w:val="21"/>
          <w:highlight w:val="none"/>
        </w:rPr>
      </w:pPr>
      <w:r>
        <w:rPr>
          <w:rFonts w:hint="eastAsia" w:ascii="宋体" w:hAnsi="宋体" w:cs="宋体"/>
          <w:b/>
          <w:color w:val="auto"/>
          <w:szCs w:val="21"/>
          <w:highlight w:val="none"/>
        </w:rPr>
        <w:t>供应商名称：</w:t>
      </w:r>
      <w:r>
        <w:rPr>
          <w:rFonts w:hint="eastAsia" w:ascii="宋体" w:hAnsi="宋体" w:cs="宋体"/>
          <w:b/>
          <w:color w:val="auto"/>
          <w:szCs w:val="21"/>
          <w:highlight w:val="none"/>
          <w:u w:val="single"/>
        </w:rPr>
        <w:t xml:space="preserve">                              </w:t>
      </w:r>
    </w:p>
    <w:tbl>
      <w:tblPr>
        <w:tblStyle w:val="5"/>
        <w:tblW w:w="89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2020"/>
        <w:gridCol w:w="1275"/>
        <w:gridCol w:w="1844"/>
        <w:gridCol w:w="165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6"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ind w:left="148" w:right="144"/>
              <w:jc w:val="center"/>
              <w:rPr>
                <w:rFonts w:ascii="宋体" w:hAnsi="宋体"/>
                <w:b/>
                <w:color w:val="auto"/>
                <w:kern w:val="0"/>
                <w:szCs w:val="22"/>
                <w:highlight w:val="none"/>
              </w:rPr>
            </w:pPr>
            <w:r>
              <w:rPr>
                <w:rFonts w:ascii="宋体" w:hAnsi="宋体"/>
                <w:b/>
                <w:color w:val="auto"/>
                <w:kern w:val="0"/>
                <w:szCs w:val="22"/>
                <w:highlight w:val="none"/>
              </w:rPr>
              <w:t>序号</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ind w:right="648"/>
              <w:jc w:val="center"/>
              <w:rPr>
                <w:rFonts w:ascii="宋体" w:hAnsi="宋体"/>
                <w:b/>
                <w:color w:val="auto"/>
                <w:kern w:val="0"/>
                <w:szCs w:val="22"/>
                <w:highlight w:val="none"/>
              </w:rPr>
            </w:pPr>
            <w:r>
              <w:rPr>
                <w:rFonts w:ascii="宋体" w:hAnsi="宋体"/>
                <w:b/>
                <w:color w:val="auto"/>
                <w:kern w:val="0"/>
                <w:szCs w:val="22"/>
                <w:highlight w:val="none"/>
              </w:rPr>
              <w:t>内容</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jc w:val="center"/>
              <w:rPr>
                <w:rFonts w:ascii="宋体" w:hAnsi="宋体"/>
                <w:b/>
                <w:color w:val="auto"/>
                <w:kern w:val="0"/>
                <w:szCs w:val="22"/>
                <w:highlight w:val="none"/>
              </w:rPr>
            </w:pPr>
            <w:r>
              <w:rPr>
                <w:rFonts w:ascii="宋体" w:hAnsi="宋体"/>
                <w:b/>
                <w:color w:val="auto"/>
                <w:kern w:val="0"/>
                <w:szCs w:val="22"/>
                <w:highlight w:val="none"/>
              </w:rPr>
              <w:t>工作量</w:t>
            </w: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
              <w:ind w:left="183" w:right="178"/>
              <w:jc w:val="center"/>
              <w:rPr>
                <w:rFonts w:ascii="宋体" w:hAnsi="宋体"/>
                <w:b/>
                <w:color w:val="auto"/>
                <w:kern w:val="0"/>
                <w:szCs w:val="22"/>
                <w:highlight w:val="none"/>
              </w:rPr>
            </w:pPr>
            <w:r>
              <w:rPr>
                <w:rFonts w:ascii="宋体" w:hAnsi="宋体"/>
                <w:b/>
                <w:color w:val="auto"/>
                <w:kern w:val="0"/>
                <w:szCs w:val="22"/>
                <w:highlight w:val="none"/>
              </w:rPr>
              <w:t>分项报价</w:t>
            </w:r>
          </w:p>
          <w:p>
            <w:pPr>
              <w:widowControl/>
              <w:autoSpaceDE w:val="0"/>
              <w:autoSpaceDN w:val="0"/>
              <w:spacing w:before="4" w:line="252" w:lineRule="exact"/>
              <w:ind w:left="185" w:right="178"/>
              <w:jc w:val="center"/>
              <w:rPr>
                <w:rFonts w:ascii="宋体" w:hAnsi="宋体"/>
                <w:b/>
                <w:color w:val="auto"/>
                <w:kern w:val="0"/>
                <w:szCs w:val="22"/>
                <w:highlight w:val="none"/>
              </w:rPr>
            </w:pPr>
            <w:r>
              <w:rPr>
                <w:rFonts w:ascii="宋体" w:hAnsi="宋体"/>
                <w:b/>
                <w:color w:val="auto"/>
                <w:kern w:val="0"/>
                <w:szCs w:val="22"/>
                <w:highlight w:val="none"/>
              </w:rPr>
              <w:t>（万元人民币）</w:t>
            </w: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jc w:val="center"/>
              <w:rPr>
                <w:rFonts w:ascii="宋体" w:hAnsi="宋体"/>
                <w:b/>
                <w:color w:val="auto"/>
                <w:kern w:val="0"/>
                <w:szCs w:val="22"/>
                <w:highlight w:val="none"/>
              </w:rPr>
            </w:pPr>
            <w:r>
              <w:rPr>
                <w:rFonts w:ascii="宋体" w:hAnsi="宋体"/>
                <w:b/>
                <w:color w:val="auto"/>
                <w:kern w:val="0"/>
                <w:szCs w:val="22"/>
                <w:highlight w:val="none"/>
              </w:rPr>
              <w:t>内容描述</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37"/>
              <w:jc w:val="center"/>
              <w:rPr>
                <w:rFonts w:ascii="宋体" w:hAnsi="宋体"/>
                <w:b/>
                <w:color w:val="auto"/>
                <w:kern w:val="0"/>
                <w:szCs w:val="22"/>
                <w:highlight w:val="none"/>
              </w:rPr>
            </w:pPr>
            <w:r>
              <w:rPr>
                <w:rFonts w:ascii="宋体" w:hAnsi="宋体"/>
                <w:b/>
                <w:color w:val="auto"/>
                <w:kern w:val="0"/>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auto"/>
                <w:kern w:val="0"/>
                <w:sz w:val="17"/>
                <w:szCs w:val="22"/>
                <w:highlight w:val="none"/>
              </w:rPr>
            </w:pPr>
          </w:p>
          <w:p>
            <w:pPr>
              <w:widowControl/>
              <w:autoSpaceDE w:val="0"/>
              <w:autoSpaceDN w:val="0"/>
              <w:ind w:left="4"/>
              <w:jc w:val="center"/>
              <w:rPr>
                <w:rFonts w:ascii="宋体" w:hAnsi="宋体"/>
                <w:color w:val="auto"/>
                <w:kern w:val="0"/>
                <w:szCs w:val="22"/>
                <w:highlight w:val="none"/>
              </w:rPr>
            </w:pPr>
            <w:r>
              <w:rPr>
                <w:rFonts w:ascii="宋体" w:hAnsi="宋体"/>
                <w:color w:val="auto"/>
                <w:kern w:val="0"/>
                <w:szCs w:val="22"/>
                <w:highlight w:val="none"/>
              </w:rPr>
              <w:t>1</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auto"/>
                <w:kern w:val="0"/>
                <w:sz w:val="17"/>
                <w:szCs w:val="22"/>
                <w:highlight w:val="none"/>
              </w:rPr>
            </w:pPr>
          </w:p>
          <w:p>
            <w:pPr>
              <w:widowControl/>
              <w:autoSpaceDE w:val="0"/>
              <w:autoSpaceDN w:val="0"/>
              <w:ind w:left="4"/>
              <w:jc w:val="center"/>
              <w:rPr>
                <w:rFonts w:ascii="宋体" w:hAnsi="宋体"/>
                <w:color w:val="auto"/>
                <w:kern w:val="0"/>
                <w:szCs w:val="22"/>
                <w:highlight w:val="none"/>
              </w:rPr>
            </w:pPr>
            <w:r>
              <w:rPr>
                <w:rFonts w:ascii="宋体" w:hAnsi="宋体"/>
                <w:color w:val="auto"/>
                <w:kern w:val="0"/>
                <w:szCs w:val="22"/>
                <w:highlight w:val="none"/>
              </w:rPr>
              <w:t>2</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auto"/>
                <w:kern w:val="0"/>
                <w:sz w:val="17"/>
                <w:szCs w:val="22"/>
                <w:highlight w:val="none"/>
              </w:rPr>
            </w:pPr>
          </w:p>
          <w:p>
            <w:pPr>
              <w:widowControl/>
              <w:autoSpaceDE w:val="0"/>
              <w:autoSpaceDN w:val="0"/>
              <w:ind w:left="4"/>
              <w:jc w:val="center"/>
              <w:rPr>
                <w:rFonts w:ascii="宋体" w:hAnsi="宋体"/>
                <w:color w:val="auto"/>
                <w:kern w:val="0"/>
                <w:szCs w:val="22"/>
                <w:highlight w:val="none"/>
              </w:rPr>
            </w:pPr>
            <w:r>
              <w:rPr>
                <w:rFonts w:ascii="宋体" w:hAnsi="宋体"/>
                <w:color w:val="auto"/>
                <w:kern w:val="0"/>
                <w:szCs w:val="22"/>
                <w:highlight w:val="none"/>
              </w:rPr>
              <w:t>3</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0"/>
              <w:jc w:val="left"/>
              <w:rPr>
                <w:rFonts w:hAnsi="宋体"/>
                <w:b/>
                <w:color w:val="auto"/>
                <w:kern w:val="0"/>
                <w:sz w:val="17"/>
                <w:szCs w:val="22"/>
                <w:highlight w:val="none"/>
              </w:rPr>
            </w:pPr>
          </w:p>
          <w:p>
            <w:pPr>
              <w:widowControl/>
              <w:autoSpaceDE w:val="0"/>
              <w:autoSpaceDN w:val="0"/>
              <w:ind w:left="4"/>
              <w:jc w:val="center"/>
              <w:rPr>
                <w:rFonts w:ascii="宋体" w:hAnsi="宋体"/>
                <w:color w:val="auto"/>
                <w:kern w:val="0"/>
                <w:szCs w:val="22"/>
                <w:highlight w:val="none"/>
              </w:rPr>
            </w:pPr>
            <w:r>
              <w:rPr>
                <w:rFonts w:ascii="宋体" w:hAnsi="宋体"/>
                <w:color w:val="auto"/>
                <w:kern w:val="0"/>
                <w:szCs w:val="22"/>
                <w:highlight w:val="none"/>
              </w:rPr>
              <w:t>4</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auto"/>
                <w:kern w:val="0"/>
                <w:sz w:val="17"/>
                <w:szCs w:val="22"/>
                <w:highlight w:val="none"/>
              </w:rPr>
            </w:pPr>
          </w:p>
          <w:p>
            <w:pPr>
              <w:widowControl/>
              <w:autoSpaceDE w:val="0"/>
              <w:autoSpaceDN w:val="0"/>
              <w:ind w:left="4"/>
              <w:jc w:val="center"/>
              <w:rPr>
                <w:rFonts w:ascii="宋体" w:hAnsi="宋体"/>
                <w:color w:val="auto"/>
                <w:kern w:val="0"/>
                <w:szCs w:val="22"/>
                <w:highlight w:val="none"/>
              </w:rPr>
            </w:pPr>
            <w:r>
              <w:rPr>
                <w:rFonts w:ascii="宋体" w:hAnsi="宋体"/>
                <w:color w:val="auto"/>
                <w:kern w:val="0"/>
                <w:szCs w:val="22"/>
                <w:highlight w:val="none"/>
              </w:rPr>
              <w:t>5</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auto"/>
                <w:kern w:val="0"/>
                <w:sz w:val="17"/>
                <w:szCs w:val="22"/>
                <w:highlight w:val="none"/>
              </w:rPr>
            </w:pPr>
          </w:p>
          <w:p>
            <w:pPr>
              <w:widowControl/>
              <w:autoSpaceDE w:val="0"/>
              <w:autoSpaceDN w:val="0"/>
              <w:ind w:left="4"/>
              <w:jc w:val="center"/>
              <w:rPr>
                <w:rFonts w:ascii="宋体" w:hAnsi="宋体"/>
                <w:color w:val="auto"/>
                <w:kern w:val="0"/>
                <w:szCs w:val="22"/>
                <w:highlight w:val="none"/>
              </w:rPr>
            </w:pPr>
            <w:r>
              <w:rPr>
                <w:rFonts w:ascii="宋体" w:hAnsi="宋体"/>
                <w:color w:val="auto"/>
                <w:kern w:val="0"/>
                <w:szCs w:val="22"/>
                <w:highlight w:val="none"/>
              </w:rPr>
              <w:t>6</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9"/>
              <w:jc w:val="left"/>
              <w:rPr>
                <w:rFonts w:hAnsi="宋体"/>
                <w:b/>
                <w:color w:val="auto"/>
                <w:kern w:val="0"/>
                <w:sz w:val="17"/>
                <w:szCs w:val="22"/>
                <w:highlight w:val="none"/>
              </w:rPr>
            </w:pPr>
          </w:p>
          <w:p>
            <w:pPr>
              <w:widowControl/>
              <w:autoSpaceDE w:val="0"/>
              <w:autoSpaceDN w:val="0"/>
              <w:ind w:left="4"/>
              <w:jc w:val="center"/>
              <w:rPr>
                <w:rFonts w:ascii="宋体" w:hAnsi="宋体"/>
                <w:color w:val="auto"/>
                <w:kern w:val="0"/>
                <w:szCs w:val="22"/>
                <w:highlight w:val="none"/>
              </w:rPr>
            </w:pPr>
            <w:r>
              <w:rPr>
                <w:rFonts w:ascii="宋体" w:hAnsi="宋体"/>
                <w:color w:val="auto"/>
                <w:kern w:val="0"/>
                <w:szCs w:val="22"/>
                <w:highlight w:val="none"/>
              </w:rPr>
              <w:t>7</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8"/>
              <w:jc w:val="left"/>
              <w:rPr>
                <w:rFonts w:hAnsi="宋体"/>
                <w:b/>
                <w:color w:val="auto"/>
                <w:kern w:val="0"/>
                <w:sz w:val="17"/>
                <w:szCs w:val="22"/>
                <w:highlight w:val="none"/>
              </w:rPr>
            </w:pPr>
          </w:p>
          <w:p>
            <w:pPr>
              <w:widowControl/>
              <w:autoSpaceDE w:val="0"/>
              <w:autoSpaceDN w:val="0"/>
              <w:ind w:left="12"/>
              <w:jc w:val="center"/>
              <w:rPr>
                <w:rFonts w:ascii="宋体" w:hAnsi="宋体"/>
                <w:color w:val="auto"/>
                <w:kern w:val="0"/>
                <w:szCs w:val="22"/>
                <w:highlight w:val="none"/>
              </w:rPr>
            </w:pPr>
            <w:r>
              <w:rPr>
                <w:rFonts w:ascii="宋体" w:hAnsi="宋体"/>
                <w:color w:val="auto"/>
                <w:kern w:val="0"/>
                <w:szCs w:val="22"/>
                <w:highlight w:val="none"/>
              </w:rPr>
              <w:t>…</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color w:val="auto"/>
                <w:kern w:val="0"/>
                <w:sz w:val="20"/>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4" w:hRule="atLeast"/>
        </w:trPr>
        <w:tc>
          <w:tcPr>
            <w:tcW w:w="2704"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jc w:val="left"/>
              <w:rPr>
                <w:rFonts w:hAnsi="宋体"/>
                <w:b/>
                <w:color w:val="auto"/>
                <w:kern w:val="0"/>
                <w:sz w:val="20"/>
                <w:szCs w:val="22"/>
                <w:highlight w:val="none"/>
              </w:rPr>
            </w:pPr>
          </w:p>
          <w:p>
            <w:pPr>
              <w:widowControl/>
              <w:autoSpaceDE w:val="0"/>
              <w:autoSpaceDN w:val="0"/>
              <w:spacing w:before="7"/>
              <w:jc w:val="left"/>
              <w:rPr>
                <w:rFonts w:hAnsi="宋体"/>
                <w:b/>
                <w:color w:val="auto"/>
                <w:kern w:val="0"/>
                <w:sz w:val="25"/>
                <w:szCs w:val="22"/>
                <w:highlight w:val="none"/>
              </w:rPr>
            </w:pPr>
          </w:p>
          <w:p>
            <w:pPr>
              <w:widowControl/>
              <w:autoSpaceDE w:val="0"/>
              <w:autoSpaceDN w:val="0"/>
              <w:ind w:left="847"/>
              <w:jc w:val="left"/>
              <w:rPr>
                <w:rFonts w:ascii="宋体" w:hAnsi="宋体"/>
                <w:b/>
                <w:color w:val="auto"/>
                <w:kern w:val="0"/>
                <w:szCs w:val="22"/>
                <w:highlight w:val="none"/>
              </w:rPr>
            </w:pPr>
            <w:r>
              <w:rPr>
                <w:rFonts w:ascii="宋体" w:hAnsi="宋体"/>
                <w:b/>
                <w:color w:val="auto"/>
                <w:kern w:val="0"/>
                <w:szCs w:val="22"/>
                <w:highlight w:val="none"/>
              </w:rPr>
              <w:t>响应总价</w:t>
            </w: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171"/>
              <w:ind w:left="106"/>
              <w:jc w:val="left"/>
              <w:rPr>
                <w:rFonts w:ascii="宋体" w:hAnsi="宋体"/>
                <w:color w:val="auto"/>
                <w:kern w:val="0"/>
                <w:szCs w:val="22"/>
                <w:highlight w:val="none"/>
              </w:rPr>
            </w:pPr>
            <w:r>
              <w:rPr>
                <w:rFonts w:ascii="宋体" w:hAnsi="宋体"/>
                <w:color w:val="auto"/>
                <w:kern w:val="0"/>
                <w:szCs w:val="22"/>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3" w:hRule="atLeast"/>
        </w:trPr>
        <w:tc>
          <w:tcPr>
            <w:tcW w:w="2704" w:type="dxa"/>
            <w:gridSpan w:val="2"/>
            <w:vMerge w:val="continue"/>
            <w:tcBorders>
              <w:top w:val="single" w:color="auto" w:sz="4" w:space="0"/>
              <w:left w:val="single" w:color="auto" w:sz="4" w:space="0"/>
              <w:bottom w:val="single" w:color="auto" w:sz="4" w:space="0"/>
              <w:right w:val="single" w:color="auto" w:sz="4" w:space="0"/>
            </w:tcBorders>
            <w:shd w:val="clear" w:color="auto" w:fill="auto"/>
          </w:tcPr>
          <w:p>
            <w:pPr>
              <w:rPr>
                <w:color w:val="auto"/>
                <w:sz w:val="20"/>
                <w:szCs w:val="20"/>
                <w:highlight w:val="none"/>
              </w:rPr>
            </w:pP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utoSpaceDE w:val="0"/>
              <w:autoSpaceDN w:val="0"/>
              <w:spacing w:before="5"/>
              <w:jc w:val="left"/>
              <w:rPr>
                <w:rFonts w:hAnsi="宋体"/>
                <w:b/>
                <w:color w:val="auto"/>
                <w:kern w:val="0"/>
                <w:sz w:val="18"/>
                <w:szCs w:val="22"/>
                <w:highlight w:val="none"/>
              </w:rPr>
            </w:pPr>
          </w:p>
          <w:p>
            <w:pPr>
              <w:widowControl/>
              <w:autoSpaceDE w:val="0"/>
              <w:autoSpaceDN w:val="0"/>
              <w:ind w:left="106"/>
              <w:jc w:val="left"/>
              <w:rPr>
                <w:rFonts w:ascii="宋体" w:hAnsi="宋体"/>
                <w:color w:val="auto"/>
                <w:kern w:val="0"/>
                <w:szCs w:val="22"/>
                <w:highlight w:val="none"/>
              </w:rPr>
            </w:pPr>
            <w:r>
              <w:rPr>
                <w:rFonts w:ascii="宋体" w:hAnsi="宋体"/>
                <w:color w:val="auto"/>
                <w:kern w:val="0"/>
                <w:szCs w:val="22"/>
                <w:highlight w:val="none"/>
              </w:rPr>
              <w:t>大写：</w:t>
            </w:r>
          </w:p>
        </w:tc>
      </w:tr>
    </w:tbl>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注：</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1、供应商报价为整个项目报价，以人民币为结算单位。</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2、本表格是为方便供应商提供响应报价的报价分析，响应报价应为以上各分项价格之和。</w:t>
      </w:r>
    </w:p>
    <w:p>
      <w:pPr>
        <w:spacing w:line="480" w:lineRule="exact"/>
        <w:ind w:firstLine="420" w:firstLineChars="200"/>
        <w:rPr>
          <w:rFonts w:ascii="宋体" w:hAnsi="宋体" w:cs="宋体"/>
          <w:color w:val="auto"/>
          <w:kern w:val="0"/>
          <w:sz w:val="24"/>
          <w:szCs w:val="21"/>
          <w:highlight w:val="none"/>
        </w:rPr>
      </w:pPr>
      <w:r>
        <w:rPr>
          <w:rFonts w:ascii="宋体" w:hAnsi="宋体"/>
          <w:color w:val="auto"/>
          <w:szCs w:val="21"/>
          <w:highlight w:val="none"/>
        </w:rPr>
        <w:t>3、本表格如不能满足需要，供应商可根据本格式自行制表填写。</w:t>
      </w:r>
    </w:p>
    <w:p>
      <w:pPr>
        <w:spacing w:line="480" w:lineRule="exact"/>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供应商代表签字及盖公章：</w:t>
      </w:r>
      <w:r>
        <w:rPr>
          <w:rFonts w:hint="eastAsia" w:ascii="宋体" w:hAnsi="宋体" w:cs="宋体"/>
          <w:b/>
          <w:color w:val="auto"/>
          <w:szCs w:val="21"/>
          <w:highlight w:val="none"/>
          <w:u w:val="single"/>
        </w:rPr>
        <w:t xml:space="preserve">                    </w:t>
      </w:r>
    </w:p>
    <w:p>
      <w:pPr>
        <w:keepNext/>
        <w:keepLines/>
        <w:widowControl/>
        <w:spacing w:line="480" w:lineRule="exact"/>
        <w:outlineLvl w:val="1"/>
        <w:rPr>
          <w:rFonts w:ascii="宋体" w:hAnsi="宋体" w:cs="宋体"/>
          <w:b/>
          <w:bCs/>
          <w:color w:val="auto"/>
          <w:sz w:val="32"/>
          <w:szCs w:val="21"/>
          <w:highlight w:val="none"/>
        </w:rPr>
      </w:pPr>
      <w:bookmarkStart w:id="91" w:name="_Toc99635342"/>
      <w:r>
        <w:rPr>
          <w:rFonts w:hint="eastAsia" w:ascii="宋体" w:hAnsi="宋体" w:cs="宋体"/>
          <w:b/>
          <w:bCs/>
          <w:color w:val="auto"/>
          <w:szCs w:val="21"/>
          <w:highlight w:val="none"/>
        </w:rPr>
        <w:t>四、供应商情况简介</w:t>
      </w:r>
      <w:bookmarkEnd w:id="91"/>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auto"/>
          <w:szCs w:val="21"/>
          <w:highlight w:val="none"/>
        </w:rPr>
      </w:pPr>
      <w:r>
        <w:rPr>
          <w:rFonts w:hint="eastAsia" w:ascii="宋体" w:hAnsi="宋体" w:cs="宋体"/>
          <w:b/>
          <w:color w:val="auto"/>
          <w:szCs w:val="21"/>
          <w:highlight w:val="none"/>
        </w:rPr>
        <w:t>供应商名称：</w:t>
      </w:r>
      <w:r>
        <w:rPr>
          <w:rFonts w:hint="eastAsia" w:ascii="宋体" w:hAnsi="宋体" w:cs="宋体"/>
          <w:b/>
          <w:color w:val="auto"/>
          <w:szCs w:val="21"/>
          <w:highlight w:val="none"/>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auto"/>
          <w:szCs w:val="21"/>
          <w:highlight w:val="none"/>
        </w:rPr>
      </w:pPr>
      <w:r>
        <w:rPr>
          <w:rFonts w:hint="eastAsia" w:ascii="宋体" w:hAnsi="宋体" w:cs="宋体"/>
          <w:color w:val="auto"/>
          <w:szCs w:val="21"/>
          <w:highlight w:val="none"/>
        </w:rPr>
        <w:t>主要内容应包括：</w:t>
      </w:r>
    </w:p>
    <w:p>
      <w:pPr>
        <w:autoSpaceDE w:val="0"/>
        <w:autoSpaceDN w:val="0"/>
        <w:adjustRightInd w:val="0"/>
        <w:spacing w:line="48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1、供应商的建立和发展历程，相应历史，获得的荣誉等等；</w:t>
      </w:r>
    </w:p>
    <w:p>
      <w:pPr>
        <w:autoSpaceDE w:val="0"/>
        <w:autoSpaceDN w:val="0"/>
        <w:adjustRightInd w:val="0"/>
        <w:spacing w:line="48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2、供应商的综合资质及企业实力情况；</w:t>
      </w:r>
    </w:p>
    <w:p>
      <w:pPr>
        <w:autoSpaceDE w:val="0"/>
        <w:autoSpaceDN w:val="0"/>
        <w:adjustRightInd w:val="0"/>
        <w:spacing w:line="48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3、管理体系情况；</w:t>
      </w:r>
    </w:p>
    <w:p>
      <w:pPr>
        <w:autoSpaceDE w:val="0"/>
        <w:autoSpaceDN w:val="0"/>
        <w:adjustRightInd w:val="0"/>
        <w:spacing w:line="48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4、档案服务资格；</w:t>
      </w:r>
    </w:p>
    <w:p>
      <w:pPr>
        <w:autoSpaceDE w:val="0"/>
        <w:autoSpaceDN w:val="0"/>
        <w:adjustRightInd w:val="0"/>
        <w:spacing w:line="48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5、软件服务能力；</w:t>
      </w:r>
    </w:p>
    <w:p>
      <w:pPr>
        <w:autoSpaceDE w:val="0"/>
        <w:autoSpaceDN w:val="0"/>
        <w:adjustRightInd w:val="0"/>
        <w:spacing w:line="48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6、供应商认为需要加以说明的其他内容。</w:t>
      </w:r>
    </w:p>
    <w:p>
      <w:pPr>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注：供应商应当在响应文件中提供以上资质证书或荣誉证书的复印件（复印件加盖公章）。</w:t>
      </w:r>
    </w:p>
    <w:p>
      <w:pPr>
        <w:spacing w:line="480" w:lineRule="exact"/>
        <w:rPr>
          <w:rFonts w:ascii="宋体" w:hAnsi="宋体" w:cs="宋体"/>
          <w:b/>
          <w:color w:val="auto"/>
          <w:szCs w:val="21"/>
          <w:highlight w:val="none"/>
          <w:u w:val="single"/>
        </w:rPr>
      </w:pPr>
      <w:r>
        <w:rPr>
          <w:rFonts w:hint="eastAsia" w:ascii="宋体" w:hAnsi="宋体" w:cs="宋体"/>
          <w:b/>
          <w:color w:val="auto"/>
          <w:szCs w:val="21"/>
          <w:highlight w:val="none"/>
        </w:rPr>
        <w:t>供应商代表签字及盖公章：</w:t>
      </w:r>
      <w:r>
        <w:rPr>
          <w:rFonts w:hint="eastAsia" w:ascii="宋体" w:hAnsi="宋体" w:cs="宋体"/>
          <w:b/>
          <w:color w:val="auto"/>
          <w:szCs w:val="21"/>
          <w:highlight w:val="none"/>
          <w:u w:val="single"/>
        </w:rPr>
        <w:t xml:space="preserve">                          </w:t>
      </w:r>
    </w:p>
    <w:p>
      <w:pPr>
        <w:spacing w:line="480" w:lineRule="exact"/>
        <w:rPr>
          <w:rFonts w:ascii="宋体" w:hAnsi="宋体" w:cs="宋体"/>
          <w:b/>
          <w:color w:val="auto"/>
          <w:szCs w:val="21"/>
          <w:highlight w:val="none"/>
          <w:u w:val="single"/>
        </w:rPr>
      </w:pPr>
    </w:p>
    <w:p>
      <w:pPr>
        <w:keepNext/>
        <w:keepLines/>
        <w:widowControl/>
        <w:spacing w:line="480" w:lineRule="exact"/>
        <w:outlineLvl w:val="1"/>
        <w:rPr>
          <w:rFonts w:ascii="宋体" w:hAnsi="宋体" w:cs="宋体"/>
          <w:b/>
          <w:bCs/>
          <w:color w:val="auto"/>
          <w:szCs w:val="21"/>
          <w:highlight w:val="none"/>
        </w:rPr>
      </w:pPr>
      <w:bookmarkStart w:id="92" w:name="_Toc99635343"/>
      <w:bookmarkStart w:id="93" w:name="_Toc4576960"/>
      <w:r>
        <w:rPr>
          <w:rFonts w:hint="eastAsia" w:ascii="宋体" w:hAnsi="宋体" w:cs="宋体"/>
          <w:b/>
          <w:bCs/>
          <w:color w:val="auto"/>
          <w:szCs w:val="21"/>
          <w:highlight w:val="none"/>
        </w:rPr>
        <w:t>五、项目整体实施方案</w:t>
      </w:r>
      <w:bookmarkEnd w:id="92"/>
      <w:bookmarkEnd w:id="93"/>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auto"/>
          <w:szCs w:val="21"/>
          <w:highlight w:val="none"/>
        </w:rPr>
      </w:pPr>
      <w:r>
        <w:rPr>
          <w:rFonts w:hint="eastAsia" w:ascii="宋体" w:hAnsi="宋体" w:cs="宋体"/>
          <w:b/>
          <w:color w:val="auto"/>
          <w:szCs w:val="21"/>
          <w:highlight w:val="none"/>
        </w:rPr>
        <w:t>供应商名称：</w:t>
      </w:r>
      <w:r>
        <w:rPr>
          <w:rFonts w:hint="eastAsia" w:ascii="宋体" w:hAnsi="宋体" w:cs="宋体"/>
          <w:b/>
          <w:color w:val="auto"/>
          <w:szCs w:val="21"/>
          <w:highlight w:val="none"/>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auto"/>
          <w:szCs w:val="21"/>
          <w:highlight w:val="none"/>
        </w:rPr>
      </w:pPr>
      <w:r>
        <w:rPr>
          <w:rFonts w:hint="eastAsia" w:ascii="宋体" w:hAnsi="宋体" w:cs="宋体"/>
          <w:color w:val="auto"/>
          <w:szCs w:val="21"/>
          <w:highlight w:val="none"/>
        </w:rPr>
        <w:t>主要内容应包括但不限于：</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2、运营实施方案；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3、进度计划方案；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4、安全保密方案；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5、数据迁移方案；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6、供应商认为需要加以说明的其他内容。</w:t>
      </w:r>
    </w:p>
    <w:p>
      <w:pPr>
        <w:spacing w:line="360" w:lineRule="auto"/>
        <w:ind w:firstLine="480"/>
        <w:rPr>
          <w:rFonts w:ascii="宋体" w:hAnsi="宋体" w:cs="宋体"/>
          <w:b/>
          <w:color w:val="auto"/>
          <w:szCs w:val="21"/>
          <w:highlight w:val="none"/>
          <w:u w:val="single"/>
        </w:rPr>
      </w:pPr>
      <w:r>
        <w:rPr>
          <w:rFonts w:hint="eastAsia" w:ascii="宋体" w:hAnsi="宋体" w:cs="宋体"/>
          <w:b/>
          <w:color w:val="auto"/>
          <w:szCs w:val="21"/>
          <w:highlight w:val="none"/>
        </w:rPr>
        <w:t>供应商代表签字及盖公章：</w:t>
      </w:r>
      <w:r>
        <w:rPr>
          <w:rFonts w:hint="eastAsia" w:ascii="宋体" w:hAnsi="宋体" w:cs="宋体"/>
          <w:b/>
          <w:color w:val="auto"/>
          <w:szCs w:val="21"/>
          <w:highlight w:val="none"/>
          <w:u w:val="single"/>
        </w:rPr>
        <w:t xml:space="preserve">                        </w:t>
      </w:r>
    </w:p>
    <w:bookmarkEnd w:id="77"/>
    <w:bookmarkEnd w:id="78"/>
    <w:bookmarkEnd w:id="79"/>
    <w:bookmarkEnd w:id="80"/>
    <w:bookmarkEnd w:id="81"/>
    <w:bookmarkEnd w:id="82"/>
    <w:bookmarkEnd w:id="83"/>
    <w:bookmarkEnd w:id="84"/>
    <w:bookmarkEnd w:id="85"/>
    <w:bookmarkEnd w:id="86"/>
    <w:bookmarkEnd w:id="87"/>
    <w:bookmarkEnd w:id="88"/>
    <w:bookmarkEnd w:id="89"/>
    <w:p>
      <w:pPr>
        <w:widowControl/>
        <w:ind w:firstLine="420" w:firstLineChars="200"/>
        <w:rPr>
          <w:rFonts w:ascii="Calibri" w:hAnsi="宋体"/>
          <w:color w:val="auto"/>
          <w:szCs w:val="21"/>
          <w:highlight w:val="none"/>
        </w:rPr>
      </w:pPr>
      <w:bookmarkStart w:id="94" w:name="_Toc35233729"/>
    </w:p>
    <w:p>
      <w:pPr>
        <w:keepNext/>
        <w:keepLines/>
        <w:widowControl/>
        <w:spacing w:line="480" w:lineRule="exact"/>
        <w:outlineLvl w:val="1"/>
        <w:rPr>
          <w:rFonts w:ascii="宋体" w:hAnsi="宋体" w:cs="宋体"/>
          <w:b/>
          <w:bCs/>
          <w:color w:val="auto"/>
          <w:szCs w:val="21"/>
          <w:highlight w:val="none"/>
        </w:rPr>
      </w:pPr>
      <w:bookmarkStart w:id="95" w:name="_Toc5002716"/>
      <w:bookmarkStart w:id="96" w:name="_Toc99635344"/>
      <w:r>
        <w:rPr>
          <w:rFonts w:hint="eastAsia" w:ascii="宋体" w:hAnsi="宋体" w:cs="宋体"/>
          <w:b/>
          <w:bCs/>
          <w:color w:val="auto"/>
          <w:szCs w:val="21"/>
          <w:highlight w:val="none"/>
        </w:rPr>
        <w:t>六、</w:t>
      </w:r>
      <w:bookmarkEnd w:id="95"/>
      <w:r>
        <w:rPr>
          <w:rFonts w:hint="eastAsia" w:ascii="宋体" w:hAnsi="宋体" w:cs="宋体"/>
          <w:b/>
          <w:bCs/>
          <w:color w:val="auto"/>
          <w:szCs w:val="21"/>
          <w:highlight w:val="none"/>
        </w:rPr>
        <w:t>拟投入本项目人员情况一览表</w:t>
      </w:r>
      <w:bookmarkEnd w:id="96"/>
    </w:p>
    <w:bookmarkEnd w:id="94"/>
    <w:p>
      <w:pPr>
        <w:spacing w:line="480" w:lineRule="exact"/>
        <w:ind w:left="-176" w:leftChars="-84" w:firstLine="211" w:firstLineChars="100"/>
        <w:rPr>
          <w:rFonts w:ascii="Arial Unicode MS" w:hAnsi="宋体" w:eastAsia="Arial Unicode MS"/>
          <w:b/>
          <w:color w:val="auto"/>
          <w:kern w:val="0"/>
          <w:sz w:val="24"/>
          <w:szCs w:val="21"/>
          <w:highlight w:val="none"/>
        </w:rPr>
      </w:pPr>
      <w:bookmarkStart w:id="97" w:name="_Toc480171921"/>
      <w:bookmarkStart w:id="98" w:name="_Toc35233731"/>
      <w:bookmarkStart w:id="99" w:name="_Toc479991624"/>
      <w:bookmarkStart w:id="100" w:name="_Toc480021092"/>
      <w:bookmarkStart w:id="101" w:name="_Toc480010749"/>
      <w:bookmarkStart w:id="102" w:name="_Toc467035692"/>
      <w:bookmarkStart w:id="103" w:name="_Toc468606072"/>
      <w:bookmarkStart w:id="104" w:name="_Toc467987864"/>
      <w:bookmarkStart w:id="105" w:name="_Toc480020296"/>
      <w:bookmarkStart w:id="106" w:name="_Toc467236781"/>
      <w:bookmarkStart w:id="107" w:name="_Toc464021124"/>
      <w:bookmarkStart w:id="108" w:name="_Toc468157577"/>
      <w:r>
        <w:rPr>
          <w:rFonts w:ascii="宋体" w:hAnsi="宋体"/>
          <w:b/>
          <w:color w:val="auto"/>
          <w:szCs w:val="21"/>
          <w:highlight w:val="none"/>
        </w:rPr>
        <w:t>供应商名称：</w:t>
      </w:r>
      <w:r>
        <w:rPr>
          <w:rFonts w:ascii="宋体" w:hAnsi="宋体"/>
          <w:b/>
          <w:color w:val="auto"/>
          <w:szCs w:val="21"/>
          <w:highlight w:val="none"/>
          <w:u w:val="single"/>
        </w:rPr>
        <w:t xml:space="preserve">                               </w:t>
      </w:r>
      <w:r>
        <w:rPr>
          <w:rFonts w:ascii="宋体" w:hAnsi="宋体"/>
          <w:b/>
          <w:color w:val="auto"/>
          <w:szCs w:val="21"/>
          <w:highlight w:val="none"/>
        </w:rPr>
        <w:t xml:space="preserve">  </w:t>
      </w:r>
    </w:p>
    <w:tbl>
      <w:tblPr>
        <w:tblStyle w:val="5"/>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73"/>
        <w:gridCol w:w="877"/>
        <w:gridCol w:w="1357"/>
        <w:gridCol w:w="1153"/>
        <w:gridCol w:w="2025"/>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auto"/>
                <w:kern w:val="0"/>
                <w:sz w:val="24"/>
                <w:szCs w:val="21"/>
                <w:highlight w:val="none"/>
              </w:rPr>
            </w:pPr>
            <w:r>
              <w:rPr>
                <w:rFonts w:ascii="Arial Unicode MS" w:hAnsi="宋体" w:eastAsia="Arial Unicode MS"/>
                <w:b/>
                <w:color w:val="auto"/>
                <w:kern w:val="0"/>
                <w:sz w:val="24"/>
                <w:szCs w:val="21"/>
                <w:highlight w:val="none"/>
              </w:rPr>
              <w:t>姓名</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auto"/>
                <w:kern w:val="0"/>
                <w:sz w:val="24"/>
                <w:szCs w:val="21"/>
                <w:highlight w:val="none"/>
              </w:rPr>
            </w:pPr>
            <w:r>
              <w:rPr>
                <w:rFonts w:ascii="Arial Unicode MS" w:hAnsi="宋体" w:eastAsia="Arial Unicode MS"/>
                <w:b/>
                <w:color w:val="auto"/>
                <w:kern w:val="0"/>
                <w:sz w:val="24"/>
                <w:szCs w:val="21"/>
                <w:highlight w:val="none"/>
              </w:rPr>
              <w:t>拟担任本项目职务</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auto"/>
                <w:kern w:val="0"/>
                <w:sz w:val="24"/>
                <w:szCs w:val="21"/>
                <w:highlight w:val="none"/>
              </w:rPr>
            </w:pPr>
            <w:r>
              <w:rPr>
                <w:rFonts w:ascii="Arial Unicode MS" w:hAnsi="宋体" w:eastAsia="Arial Unicode MS"/>
                <w:b/>
                <w:color w:val="auto"/>
                <w:kern w:val="0"/>
                <w:sz w:val="24"/>
                <w:szCs w:val="21"/>
                <w:highlight w:val="none"/>
              </w:rPr>
              <w:t>学历</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auto"/>
                <w:kern w:val="0"/>
                <w:sz w:val="24"/>
                <w:szCs w:val="21"/>
                <w:highlight w:val="none"/>
              </w:rPr>
            </w:pPr>
            <w:r>
              <w:rPr>
                <w:rFonts w:ascii="Arial Unicode MS" w:hAnsi="宋体" w:eastAsia="Arial Unicode MS"/>
                <w:b/>
                <w:color w:val="auto"/>
                <w:kern w:val="0"/>
                <w:sz w:val="24"/>
                <w:szCs w:val="21"/>
                <w:highlight w:val="none"/>
              </w:rPr>
              <w:t>持何种技术资格证件</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auto"/>
                <w:kern w:val="0"/>
                <w:sz w:val="24"/>
                <w:szCs w:val="21"/>
                <w:highlight w:val="none"/>
              </w:rPr>
            </w:pPr>
            <w:r>
              <w:rPr>
                <w:rFonts w:ascii="Arial Unicode MS" w:hAnsi="宋体" w:eastAsia="Arial Unicode MS"/>
                <w:b/>
                <w:color w:val="auto"/>
                <w:kern w:val="0"/>
                <w:sz w:val="24"/>
                <w:szCs w:val="21"/>
                <w:highlight w:val="none"/>
              </w:rPr>
              <w:t>发证时间</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auto"/>
                <w:kern w:val="0"/>
                <w:sz w:val="24"/>
                <w:szCs w:val="21"/>
                <w:highlight w:val="none"/>
              </w:rPr>
            </w:pPr>
            <w:r>
              <w:rPr>
                <w:rFonts w:ascii="Arial Unicode MS" w:hAnsi="宋体" w:eastAsia="Arial Unicode MS"/>
                <w:b/>
                <w:color w:val="auto"/>
                <w:kern w:val="0"/>
                <w:sz w:val="24"/>
                <w:szCs w:val="21"/>
                <w:highlight w:val="none"/>
              </w:rPr>
              <w:t>从事相关工作时间</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b/>
                <w:color w:val="auto"/>
                <w:kern w:val="0"/>
                <w:sz w:val="24"/>
                <w:szCs w:val="21"/>
                <w:highlight w:val="none"/>
              </w:rPr>
            </w:pPr>
            <w:r>
              <w:rPr>
                <w:rFonts w:ascii="Arial Unicode MS" w:hAnsi="宋体" w:eastAsia="Arial Unicode MS"/>
                <w:b/>
                <w:color w:val="auto"/>
                <w:kern w:val="0"/>
                <w:sz w:val="24"/>
                <w:szCs w:val="21"/>
                <w:highlight w:val="none"/>
              </w:rPr>
              <w:t>购买社保情况/纳税证明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Arial Unicode MS" w:hAnsi="宋体" w:eastAsia="Arial Unicode MS"/>
                <w:color w:val="auto"/>
                <w:kern w:val="0"/>
                <w:sz w:val="24"/>
                <w:szCs w:val="21"/>
                <w:highlight w:val="none"/>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spacing w:line="480" w:lineRule="exact"/>
              <w:jc w:val="center"/>
              <w:rPr>
                <w:rFonts w:ascii="Arial Unicode MS" w:hAnsi="宋体" w:eastAsia="Arial Unicode MS"/>
                <w:color w:val="auto"/>
                <w:kern w:val="0"/>
                <w:sz w:val="24"/>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cs="宋体"/>
          <w:color w:val="auto"/>
          <w:szCs w:val="21"/>
          <w:highlight w:val="none"/>
        </w:rPr>
      </w:pPr>
      <w:r>
        <w:rPr>
          <w:rFonts w:hint="eastAsia" w:ascii="宋体" w:hAnsi="宋体" w:cs="宋体"/>
          <w:color w:val="auto"/>
          <w:szCs w:val="21"/>
          <w:highlight w:val="none"/>
        </w:rPr>
        <w:t>注：1、供应商可以根据本表格内容和实际情况制作本表格。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2、供应商应当在响应文件中提供上述人员的有效期内资格证件的复印件（加盖公章）。</w:t>
      </w:r>
    </w:p>
    <w:p>
      <w:pPr>
        <w:spacing w:line="480" w:lineRule="exact"/>
        <w:ind w:firstLine="420" w:firstLineChars="200"/>
        <w:rPr>
          <w:rFonts w:ascii="宋体" w:hAnsi="宋体"/>
          <w:color w:val="auto"/>
          <w:szCs w:val="21"/>
          <w:highlight w:val="none"/>
        </w:rPr>
      </w:pPr>
      <w:r>
        <w:rPr>
          <w:rFonts w:ascii="宋体" w:hAnsi="宋体"/>
          <w:color w:val="auto"/>
          <w:szCs w:val="21"/>
          <w:highlight w:val="none"/>
        </w:rPr>
        <w:t>3、供应商应当在响应文件中</w:t>
      </w:r>
      <w:r>
        <w:rPr>
          <w:rFonts w:ascii="宋体" w:hAnsi="Courier New"/>
          <w:color w:val="auto"/>
          <w:szCs w:val="21"/>
          <w:highlight w:val="none"/>
        </w:rPr>
        <w:t>提供上述人员的相关证书和供应商为其购买的近3个月的社保或纳税证明文件</w:t>
      </w:r>
      <w:r>
        <w:rPr>
          <w:rFonts w:ascii="宋体" w:hAnsi="宋体"/>
          <w:color w:val="auto"/>
          <w:szCs w:val="21"/>
          <w:highlight w:val="none"/>
        </w:rPr>
        <w:t>（复印件加盖公章）。</w:t>
      </w:r>
    </w:p>
    <w:p>
      <w:pPr>
        <w:spacing w:line="480" w:lineRule="exact"/>
        <w:rPr>
          <w:rFonts w:ascii="宋体" w:hAnsi="宋体" w:cs="宋体"/>
          <w:b/>
          <w:color w:val="auto"/>
          <w:szCs w:val="21"/>
          <w:highlight w:val="none"/>
          <w:u w:val="single"/>
        </w:rPr>
      </w:pPr>
      <w:r>
        <w:rPr>
          <w:rFonts w:hint="eastAsia" w:ascii="宋体" w:hAnsi="宋体" w:cs="宋体"/>
          <w:b/>
          <w:color w:val="auto"/>
          <w:szCs w:val="21"/>
          <w:highlight w:val="none"/>
        </w:rPr>
        <w:t>供应商代表签字及盖公章：</w:t>
      </w:r>
      <w:r>
        <w:rPr>
          <w:rFonts w:hint="eastAsia" w:ascii="宋体" w:hAnsi="宋体" w:cs="宋体"/>
          <w:b/>
          <w:color w:val="auto"/>
          <w:szCs w:val="21"/>
          <w:highlight w:val="none"/>
          <w:u w:val="single"/>
        </w:rPr>
        <w:t xml:space="preserve">                          </w:t>
      </w:r>
    </w:p>
    <w:p>
      <w:pPr>
        <w:keepNext/>
        <w:keepLines/>
        <w:widowControl/>
        <w:spacing w:line="480" w:lineRule="exact"/>
        <w:outlineLvl w:val="1"/>
        <w:rPr>
          <w:rFonts w:ascii="宋体" w:hAnsi="宋体" w:cs="宋体"/>
          <w:b/>
          <w:bCs/>
          <w:color w:val="auto"/>
          <w:szCs w:val="21"/>
          <w:highlight w:val="none"/>
        </w:rPr>
      </w:pPr>
      <w:bookmarkStart w:id="109" w:name="_Toc99635345"/>
      <w:r>
        <w:rPr>
          <w:rFonts w:hint="eastAsia" w:ascii="宋体" w:hAnsi="宋体" w:cs="宋体"/>
          <w:b/>
          <w:bCs/>
          <w:color w:val="auto"/>
          <w:szCs w:val="21"/>
          <w:highlight w:val="none"/>
        </w:rPr>
        <w:t>七、同类项目业绩一览表</w:t>
      </w:r>
      <w:bookmarkEnd w:id="109"/>
    </w:p>
    <w:p>
      <w:pPr>
        <w:spacing w:line="360" w:lineRule="auto"/>
        <w:rPr>
          <w:rFonts w:ascii="Arial Unicode MS" w:hAnsi="宋体" w:eastAsia="Arial Unicode MS"/>
          <w:b/>
          <w:color w:val="auto"/>
          <w:kern w:val="0"/>
          <w:sz w:val="24"/>
          <w:szCs w:val="21"/>
          <w:highlight w:val="none"/>
        </w:rPr>
      </w:pPr>
      <w:r>
        <w:rPr>
          <w:rFonts w:ascii="宋体" w:hAnsi="宋体"/>
          <w:b/>
          <w:color w:val="auto"/>
          <w:szCs w:val="21"/>
          <w:highlight w:val="none"/>
        </w:rPr>
        <w:t>供应商名称：</w:t>
      </w:r>
      <w:r>
        <w:rPr>
          <w:rFonts w:ascii="宋体" w:hAnsi="宋体"/>
          <w:b/>
          <w:color w:val="auto"/>
          <w:szCs w:val="21"/>
          <w:highlight w:val="none"/>
          <w:u w:val="single"/>
        </w:rPr>
        <w:t xml:space="preserve">                          </w:t>
      </w:r>
    </w:p>
    <w:tbl>
      <w:tblPr>
        <w:tblStyle w:val="5"/>
        <w:tblW w:w="10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28"/>
        <w:gridCol w:w="2195"/>
        <w:gridCol w:w="2036"/>
        <w:gridCol w:w="1447"/>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年份</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项目主要内容描述</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项目时间/地点</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项目金额</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color w:val="auto"/>
                <w:szCs w:val="21"/>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auto"/>
                <w:szCs w:val="21"/>
                <w:highlight w:val="none"/>
              </w:rPr>
            </w:pPr>
          </w:p>
        </w:tc>
      </w:tr>
    </w:tbl>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1、供应商应当如实、完整地填写本表格。</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2、供应商应当在响应文件中如实提供合同关键页（含签订合同双方的单位名称、项目金额与含签订合同双方的落款盖章、签订日期）复印件及中标通知书（如有）作为同类业绩证明资料；</w:t>
      </w:r>
    </w:p>
    <w:p>
      <w:pPr>
        <w:spacing w:line="480" w:lineRule="exact"/>
        <w:ind w:firstLine="420" w:firstLineChars="200"/>
        <w:rPr>
          <w:rFonts w:ascii="宋体" w:hAnsi="宋体" w:cs="宋体"/>
          <w:b/>
          <w:color w:val="auto"/>
          <w:kern w:val="0"/>
          <w:sz w:val="24"/>
          <w:szCs w:val="21"/>
          <w:highlight w:val="none"/>
        </w:rPr>
      </w:pPr>
      <w:r>
        <w:rPr>
          <w:rFonts w:ascii="宋体" w:hAnsi="宋体"/>
          <w:color w:val="auto"/>
          <w:szCs w:val="21"/>
          <w:highlight w:val="none"/>
        </w:rPr>
        <w:t>3、供应商所提交的证明材料均应当是原件的复印件加盖公章。</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供应商代表签名及盖公章：</w:t>
      </w:r>
      <w:r>
        <w:rPr>
          <w:rFonts w:hint="eastAsia" w:ascii="宋体" w:hAnsi="宋体" w:cs="宋体"/>
          <w:b/>
          <w:color w:val="auto"/>
          <w:szCs w:val="21"/>
          <w:highlight w:val="none"/>
          <w:u w:val="single"/>
        </w:rPr>
        <w:t xml:space="preserve">                     </w:t>
      </w:r>
    </w:p>
    <w:p>
      <w:pPr>
        <w:widowControl/>
        <w:spacing w:line="480" w:lineRule="exact"/>
        <w:ind w:firstLine="4515" w:firstLineChars="2150"/>
        <w:rPr>
          <w:rFonts w:ascii="宋体" w:hAnsi="宋体" w:cs="宋体"/>
          <w:color w:val="auto"/>
          <w:kern w:val="0"/>
          <w:szCs w:val="21"/>
          <w:highlight w:val="none"/>
        </w:rPr>
      </w:pPr>
      <w:r>
        <w:rPr>
          <w:rFonts w:hint="eastAsia" w:ascii="宋体" w:hAnsi="宋体" w:cs="宋体"/>
          <w:color w:val="auto"/>
          <w:kern w:val="0"/>
          <w:szCs w:val="21"/>
          <w:highlight w:val="none"/>
        </w:rPr>
        <w:t>日期： 年 月 日</w:t>
      </w:r>
    </w:p>
    <w:p>
      <w:pPr>
        <w:widowControl/>
        <w:spacing w:line="480" w:lineRule="exact"/>
        <w:ind w:firstLine="4515" w:firstLineChars="2150"/>
        <w:rPr>
          <w:rFonts w:ascii="宋体" w:hAnsi="宋体" w:cs="宋体"/>
          <w:color w:val="auto"/>
          <w:kern w:val="0"/>
          <w:szCs w:val="21"/>
          <w:highlight w:val="none"/>
        </w:rPr>
      </w:pPr>
    </w:p>
    <w:p>
      <w:pPr>
        <w:keepNext/>
        <w:keepLines/>
        <w:widowControl/>
        <w:spacing w:line="480" w:lineRule="exact"/>
        <w:outlineLvl w:val="1"/>
        <w:rPr>
          <w:rFonts w:ascii="宋体" w:hAnsi="宋体" w:cs="宋体"/>
          <w:b/>
          <w:color w:val="auto"/>
          <w:szCs w:val="21"/>
          <w:highlight w:val="none"/>
        </w:rPr>
      </w:pPr>
      <w:bookmarkStart w:id="110" w:name="_Toc99635347"/>
      <w:r>
        <w:rPr>
          <w:rFonts w:hint="eastAsia" w:ascii="宋体" w:hAnsi="宋体" w:cs="宋体"/>
          <w:b/>
          <w:bCs/>
          <w:color w:val="auto"/>
          <w:szCs w:val="21"/>
          <w:highlight w:val="none"/>
        </w:rPr>
        <w:t>八、承诺函</w:t>
      </w:r>
      <w:bookmarkEnd w:id="110"/>
    </w:p>
    <w:p>
      <w:pPr>
        <w:spacing w:line="480" w:lineRule="exact"/>
        <w:rPr>
          <w:rFonts w:ascii="宋体" w:hAnsi="宋体" w:cs="宋体"/>
          <w:color w:val="auto"/>
          <w:szCs w:val="21"/>
          <w:highlight w:val="none"/>
        </w:rPr>
      </w:pPr>
      <w:r>
        <w:rPr>
          <w:rFonts w:hint="eastAsia" w:ascii="宋体" w:hAnsi="宋体" w:cs="宋体"/>
          <w:color w:val="auto"/>
          <w:szCs w:val="21"/>
          <w:highlight w:val="none"/>
        </w:rPr>
        <w:t>致：江门市住房和城乡建设档案馆</w:t>
      </w:r>
    </w:p>
    <w:p>
      <w:pPr>
        <w:spacing w:line="480" w:lineRule="exact"/>
        <w:ind w:firstLine="408"/>
        <w:rPr>
          <w:rFonts w:ascii="宋体" w:hAnsi="宋体" w:cs="宋体"/>
          <w:color w:val="auto"/>
          <w:szCs w:val="21"/>
          <w:highlight w:val="none"/>
        </w:rPr>
      </w:pPr>
      <w:r>
        <w:rPr>
          <w:rFonts w:hint="eastAsia" w:ascii="宋体" w:hAnsi="宋体" w:cs="宋体"/>
          <w:color w:val="auto"/>
          <w:szCs w:val="21"/>
          <w:highlight w:val="none"/>
        </w:rPr>
        <w:t>针对本项目我单位响应承诺如下：</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1.为本项目提供电脑不少于4台,打印机不少于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台，装订机不少于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台，大幅面彩色工程图纸扫描仪不少于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台，A3高速扫描仪不少于1台，A3平板扫描仪不少于</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台</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2.我单位有稳定专业的档案数字化扫描加工队伍，有从事专业档案整理和数字化加工服务经验，项目预备人员不低于</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人。</w:t>
      </w:r>
    </w:p>
    <w:p>
      <w:pPr>
        <w:spacing w:line="480" w:lineRule="exact"/>
        <w:ind w:firstLine="408"/>
        <w:rPr>
          <w:rFonts w:ascii="宋体" w:hAnsi="宋体" w:cs="宋体"/>
          <w:color w:val="auto"/>
          <w:szCs w:val="21"/>
          <w:highlight w:val="none"/>
        </w:rPr>
      </w:pPr>
      <w:r>
        <w:rPr>
          <w:rFonts w:hint="eastAsia" w:ascii="宋体" w:hAnsi="宋体" w:cs="宋体"/>
          <w:color w:val="auto"/>
          <w:szCs w:val="21"/>
          <w:highlight w:val="none"/>
        </w:rPr>
        <w:t>特此承诺。</w:t>
      </w:r>
    </w:p>
    <w:p>
      <w:pPr>
        <w:spacing w:line="480" w:lineRule="exact"/>
        <w:ind w:firstLine="408"/>
        <w:rPr>
          <w:rFonts w:ascii="宋体" w:hAnsi="宋体" w:cs="宋体"/>
          <w:color w:val="auto"/>
          <w:szCs w:val="21"/>
          <w:highlight w:val="none"/>
        </w:rPr>
      </w:pPr>
    </w:p>
    <w:p>
      <w:pPr>
        <w:spacing w:line="480" w:lineRule="exact"/>
        <w:ind w:left="-176" w:leftChars="-84" w:firstLine="4200" w:firstLineChars="2000"/>
        <w:rPr>
          <w:rFonts w:ascii="Arial Unicode MS" w:hAnsi="宋体" w:eastAsia="Arial Unicode MS"/>
          <w:color w:val="auto"/>
          <w:kern w:val="0"/>
          <w:sz w:val="24"/>
          <w:szCs w:val="21"/>
          <w:highlight w:val="none"/>
        </w:rPr>
      </w:pPr>
      <w:r>
        <w:rPr>
          <w:rFonts w:ascii="宋体" w:hAnsi="宋体"/>
          <w:color w:val="auto"/>
          <w:szCs w:val="21"/>
          <w:highlight w:val="none"/>
        </w:rPr>
        <w:t xml:space="preserve">  承诺单位（盖公章）：</w:t>
      </w:r>
    </w:p>
    <w:p>
      <w:pPr>
        <w:spacing w:line="480" w:lineRule="exact"/>
        <w:ind w:left="-176" w:leftChars="-84" w:firstLine="210" w:firstLineChars="100"/>
        <w:rPr>
          <w:rFonts w:ascii="宋体" w:hAnsi="宋体"/>
          <w:color w:val="auto"/>
          <w:szCs w:val="21"/>
          <w:highlight w:val="none"/>
        </w:rPr>
      </w:pPr>
      <w:r>
        <w:rPr>
          <w:rFonts w:ascii="宋体" w:hAnsi="宋体"/>
          <w:color w:val="auto"/>
          <w:szCs w:val="21"/>
          <w:highlight w:val="none"/>
        </w:rPr>
        <w:t xml:space="preserve">                                         承诺日期：</w:t>
      </w:r>
    </w:p>
    <w:p>
      <w:pPr>
        <w:spacing w:line="480" w:lineRule="exact"/>
        <w:ind w:left="-176" w:leftChars="-84" w:firstLine="210" w:firstLineChars="100"/>
        <w:rPr>
          <w:rFonts w:hint="eastAsia" w:ascii="宋体" w:hAnsi="宋体"/>
          <w:color w:val="auto"/>
          <w:szCs w:val="21"/>
          <w:highlight w:val="none"/>
        </w:rPr>
      </w:pPr>
    </w:p>
    <w:p>
      <w:pPr>
        <w:spacing w:line="480" w:lineRule="exact"/>
        <w:ind w:left="-176" w:leftChars="-84" w:firstLine="210" w:firstLineChars="100"/>
        <w:rPr>
          <w:rFonts w:hint="eastAsia" w:ascii="宋体" w:hAnsi="宋体"/>
          <w:color w:val="auto"/>
          <w:szCs w:val="21"/>
          <w:highlight w:val="none"/>
        </w:rPr>
      </w:pPr>
    </w:p>
    <w:p>
      <w:pPr>
        <w:spacing w:line="480" w:lineRule="exact"/>
        <w:ind w:left="-176" w:leftChars="-84" w:firstLine="210" w:firstLineChars="100"/>
        <w:rPr>
          <w:rFonts w:hint="eastAsia" w:ascii="宋体" w:hAnsi="宋体"/>
          <w:color w:val="auto"/>
          <w:szCs w:val="21"/>
          <w:highlight w:val="none"/>
        </w:rPr>
      </w:pPr>
    </w:p>
    <w:p>
      <w:pPr>
        <w:spacing w:line="480" w:lineRule="exact"/>
        <w:ind w:left="-176" w:leftChars="-84" w:firstLine="210" w:firstLineChars="100"/>
        <w:rPr>
          <w:rFonts w:ascii="宋体" w:hAnsi="宋体"/>
          <w:color w:val="auto"/>
          <w:szCs w:val="21"/>
          <w:highlight w:val="none"/>
        </w:rPr>
      </w:pPr>
    </w:p>
    <w:p>
      <w:pPr>
        <w:keepNext/>
        <w:keepLines/>
        <w:widowControl/>
        <w:spacing w:line="480" w:lineRule="exact"/>
        <w:outlineLvl w:val="1"/>
        <w:rPr>
          <w:rFonts w:ascii="宋体" w:hAnsi="宋体" w:cs="宋体"/>
          <w:b/>
          <w:color w:val="auto"/>
          <w:szCs w:val="21"/>
          <w:highlight w:val="none"/>
        </w:rPr>
      </w:pPr>
      <w:bookmarkStart w:id="111" w:name="_Toc99635348"/>
      <w:r>
        <w:rPr>
          <w:rFonts w:hint="eastAsia" w:ascii="宋体" w:hAnsi="宋体" w:cs="宋体"/>
          <w:b/>
          <w:bCs/>
          <w:color w:val="auto"/>
          <w:szCs w:val="21"/>
          <w:highlight w:val="none"/>
        </w:rPr>
        <w:t>九、关于资格的声明函</w:t>
      </w:r>
      <w:bookmarkEnd w:id="111"/>
    </w:p>
    <w:p>
      <w:pPr>
        <w:widowControl/>
        <w:spacing w:line="480" w:lineRule="exact"/>
        <w:ind w:firstLine="420" w:firstLineChars="200"/>
        <w:rPr>
          <w:rFonts w:ascii="Calibri" w:hAnsi="宋体"/>
          <w:color w:val="auto"/>
          <w:szCs w:val="21"/>
          <w:highlight w:val="none"/>
          <w:u w:val="single"/>
        </w:rPr>
      </w:pPr>
      <w:r>
        <w:rPr>
          <w:rFonts w:ascii="Calibri" w:hAnsi="宋体"/>
          <w:color w:val="auto"/>
          <w:szCs w:val="21"/>
          <w:highlight w:val="none"/>
        </w:rPr>
        <w:t>致：</w:t>
      </w:r>
      <w:r>
        <w:rPr>
          <w:rFonts w:ascii="Calibri" w:hAnsi="宋体"/>
          <w:color w:val="auto"/>
          <w:szCs w:val="21"/>
          <w:highlight w:val="none"/>
          <w:u w:val="single"/>
        </w:rPr>
        <w:t>江门市住房和城乡建设档案馆</w:t>
      </w:r>
    </w:p>
    <w:p>
      <w:pPr>
        <w:widowControl/>
        <w:spacing w:line="480" w:lineRule="exact"/>
        <w:ind w:firstLine="420" w:firstLineChars="200"/>
        <w:rPr>
          <w:rFonts w:ascii="Calibri" w:hAnsi="宋体"/>
          <w:color w:val="auto"/>
          <w:szCs w:val="21"/>
          <w:highlight w:val="none"/>
        </w:rPr>
      </w:pPr>
      <w:r>
        <w:rPr>
          <w:rFonts w:ascii="Calibri" w:hAnsi="宋体"/>
          <w:color w:val="auto"/>
          <w:szCs w:val="21"/>
          <w:highlight w:val="none"/>
        </w:rPr>
        <w:t>对于贵单位202</w:t>
      </w:r>
      <w:r>
        <w:rPr>
          <w:rFonts w:hint="eastAsia" w:ascii="Calibri" w:hAnsi="宋体"/>
          <w:color w:val="auto"/>
          <w:szCs w:val="21"/>
          <w:highlight w:val="none"/>
        </w:rPr>
        <w:t>4</w:t>
      </w:r>
      <w:r>
        <w:rPr>
          <w:rFonts w:ascii="Calibri" w:hAnsi="宋体"/>
          <w:color w:val="auto"/>
          <w:szCs w:val="21"/>
          <w:highlight w:val="none"/>
        </w:rPr>
        <w:t>年</w:t>
      </w:r>
      <w:r>
        <w:rPr>
          <w:rFonts w:ascii="Calibri" w:hAnsi="宋体"/>
          <w:color w:val="auto"/>
          <w:szCs w:val="21"/>
          <w:highlight w:val="none"/>
          <w:u w:val="single"/>
        </w:rPr>
        <w:t xml:space="preserve">  </w:t>
      </w:r>
      <w:r>
        <w:rPr>
          <w:rFonts w:ascii="Calibri" w:hAnsi="宋体"/>
          <w:color w:val="auto"/>
          <w:szCs w:val="21"/>
          <w:highlight w:val="none"/>
        </w:rPr>
        <w:t>月</w:t>
      </w:r>
      <w:r>
        <w:rPr>
          <w:rFonts w:ascii="Calibri" w:hAnsi="宋体"/>
          <w:color w:val="auto"/>
          <w:szCs w:val="21"/>
          <w:highlight w:val="none"/>
          <w:u w:val="single"/>
        </w:rPr>
        <w:t xml:space="preserve">  </w:t>
      </w:r>
      <w:r>
        <w:rPr>
          <w:rFonts w:ascii="Calibri" w:hAnsi="宋体"/>
          <w:color w:val="auto"/>
          <w:szCs w:val="21"/>
          <w:highlight w:val="none"/>
        </w:rPr>
        <w:t>日</w:t>
      </w:r>
      <w:r>
        <w:rPr>
          <w:rFonts w:ascii="Calibri" w:hAnsi="宋体"/>
          <w:color w:val="auto"/>
          <w:szCs w:val="21"/>
          <w:highlight w:val="none"/>
          <w:u w:val="single"/>
        </w:rPr>
        <w:t>202</w:t>
      </w:r>
      <w:r>
        <w:rPr>
          <w:rFonts w:hint="eastAsia" w:ascii="Calibri" w:hAnsi="宋体"/>
          <w:color w:val="auto"/>
          <w:szCs w:val="21"/>
          <w:highlight w:val="none"/>
          <w:u w:val="single"/>
        </w:rPr>
        <w:t>4</w:t>
      </w:r>
      <w:r>
        <w:rPr>
          <w:rFonts w:ascii="Calibri" w:hAnsi="宋体"/>
          <w:color w:val="auto"/>
          <w:szCs w:val="21"/>
          <w:highlight w:val="none"/>
          <w:u w:val="single"/>
        </w:rPr>
        <w:t>年</w:t>
      </w:r>
      <w:r>
        <w:rPr>
          <w:rFonts w:hint="eastAsia" w:ascii="Calibri" w:hAnsi="宋体"/>
          <w:color w:val="auto"/>
          <w:szCs w:val="21"/>
          <w:highlight w:val="none"/>
          <w:u w:val="single"/>
        </w:rPr>
        <w:t>城建档案</w:t>
      </w:r>
      <w:r>
        <w:rPr>
          <w:rFonts w:ascii="Calibri" w:hAnsi="宋体"/>
          <w:color w:val="auto"/>
          <w:szCs w:val="21"/>
          <w:highlight w:val="none"/>
          <w:u w:val="single"/>
        </w:rPr>
        <w:t>资料数字化加工服务项目</w:t>
      </w:r>
      <w:r>
        <w:rPr>
          <w:rFonts w:ascii="Calibri" w:hAnsi="宋体"/>
          <w:color w:val="auto"/>
          <w:szCs w:val="21"/>
          <w:highlight w:val="none"/>
        </w:rPr>
        <w:t>的采购需求，本签字人愿意参加响应，提供采购项目要求规定的货物和服务，并证明提交的下列文件和说明是准确的和真实的。</w:t>
      </w:r>
    </w:p>
    <w:p>
      <w:pPr>
        <w:widowControl/>
        <w:spacing w:line="480" w:lineRule="exact"/>
        <w:ind w:firstLine="420" w:firstLineChars="200"/>
        <w:rPr>
          <w:rFonts w:ascii="Calibri" w:hAnsi="宋体"/>
          <w:color w:val="auto"/>
          <w:szCs w:val="21"/>
          <w:highlight w:val="none"/>
        </w:rPr>
      </w:pPr>
      <w:r>
        <w:rPr>
          <w:rFonts w:ascii="Calibri" w:hAnsi="宋体"/>
          <w:color w:val="auto"/>
          <w:szCs w:val="21"/>
          <w:highlight w:val="none"/>
        </w:rPr>
        <w:t>1. 由工商部门签发的我方工商营业执照。</w:t>
      </w:r>
    </w:p>
    <w:p>
      <w:pPr>
        <w:widowControl/>
        <w:spacing w:line="480" w:lineRule="exact"/>
        <w:ind w:firstLine="420" w:firstLineChars="200"/>
        <w:rPr>
          <w:rFonts w:ascii="Calibri" w:hAnsi="宋体"/>
          <w:color w:val="auto"/>
          <w:szCs w:val="21"/>
          <w:highlight w:val="none"/>
        </w:rPr>
      </w:pPr>
      <w:r>
        <w:rPr>
          <w:rFonts w:ascii="Calibri" w:hAnsi="宋体"/>
          <w:color w:val="auto"/>
          <w:szCs w:val="21"/>
          <w:highlight w:val="none"/>
        </w:rPr>
        <w:t>2. 由相关部门签发的我方各类资质证书。</w:t>
      </w:r>
    </w:p>
    <w:p>
      <w:pPr>
        <w:widowControl/>
        <w:spacing w:line="480" w:lineRule="exact"/>
        <w:ind w:firstLine="420" w:firstLineChars="200"/>
        <w:rPr>
          <w:rFonts w:ascii="Calibri" w:hAnsi="宋体"/>
          <w:color w:val="auto"/>
          <w:szCs w:val="21"/>
          <w:highlight w:val="none"/>
        </w:rPr>
      </w:pPr>
      <w:r>
        <w:rPr>
          <w:rFonts w:ascii="Calibri" w:hAnsi="宋体"/>
          <w:color w:val="auto"/>
          <w:szCs w:val="21"/>
          <w:highlight w:val="none"/>
        </w:rPr>
        <w:t>3.我方具备《中华人民共和国政府采购法》第二十二条规定的条件。</w:t>
      </w:r>
    </w:p>
    <w:p>
      <w:pPr>
        <w:spacing w:line="460" w:lineRule="exact"/>
        <w:ind w:firstLine="420" w:firstLineChars="200"/>
        <w:rPr>
          <w:rFonts w:ascii="Arial Unicode MS" w:hAnsi="Arial Unicode MS" w:eastAsia="Arial Unicode MS" w:cs="宋体"/>
          <w:color w:val="auto"/>
          <w:kern w:val="0"/>
          <w:sz w:val="24"/>
          <w:szCs w:val="21"/>
          <w:highlight w:val="none"/>
        </w:rPr>
      </w:pPr>
      <w:r>
        <w:rPr>
          <w:rFonts w:ascii="宋体" w:hAnsi="宋体"/>
          <w:color w:val="auto"/>
          <w:szCs w:val="21"/>
          <w:highlight w:val="none"/>
        </w:rPr>
        <w:t>4.</w:t>
      </w:r>
      <w:r>
        <w:rPr>
          <w:rFonts w:ascii="宋体" w:hAnsi="Courier New" w:cs="宋体"/>
          <w:color w:val="auto"/>
          <w:szCs w:val="21"/>
          <w:highlight w:val="none"/>
        </w:rPr>
        <w:t>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spacing w:line="460" w:lineRule="exact"/>
        <w:ind w:firstLine="420" w:firstLineChars="200"/>
        <w:rPr>
          <w:rFonts w:ascii="Arial Unicode MS" w:hAnsi="Arial Unicode MS" w:eastAsia="Arial Unicode MS"/>
          <w:color w:val="auto"/>
          <w:kern w:val="0"/>
          <w:sz w:val="24"/>
          <w:highlight w:val="none"/>
        </w:rPr>
      </w:pPr>
      <w:r>
        <w:rPr>
          <w:rFonts w:ascii="宋体" w:hAnsi="Courier New" w:cs="宋体"/>
          <w:color w:val="auto"/>
          <w:szCs w:val="21"/>
          <w:highlight w:val="none"/>
        </w:rPr>
        <w:t>5.</w:t>
      </w:r>
      <w:r>
        <w:rPr>
          <w:rFonts w:ascii="宋体" w:hAnsi="Courier New"/>
          <w:color w:val="auto"/>
          <w:szCs w:val="20"/>
          <w:highlight w:val="none"/>
        </w:rPr>
        <w:t>我方与其他供应商不存在单位负责人为同一人或者存在直接控股、管理关系。</w:t>
      </w:r>
    </w:p>
    <w:p>
      <w:pPr>
        <w:spacing w:line="460" w:lineRule="exact"/>
        <w:ind w:firstLine="420" w:firstLineChars="200"/>
        <w:rPr>
          <w:rFonts w:ascii="Arial Unicode MS" w:hAnsi="Arial Unicode MS" w:eastAsia="Arial Unicode MS"/>
          <w:color w:val="auto"/>
          <w:kern w:val="0"/>
          <w:sz w:val="24"/>
          <w:highlight w:val="none"/>
        </w:rPr>
      </w:pPr>
      <w:r>
        <w:rPr>
          <w:rFonts w:ascii="宋体" w:hAnsi="Courier New"/>
          <w:color w:val="auto"/>
          <w:szCs w:val="20"/>
          <w:highlight w:val="none"/>
        </w:rPr>
        <w:t>6.我方不是联合体响应，不会转包、分包。</w:t>
      </w:r>
    </w:p>
    <w:p>
      <w:pPr>
        <w:widowControl/>
        <w:spacing w:line="480" w:lineRule="exact"/>
        <w:ind w:firstLine="420" w:firstLineChars="200"/>
        <w:rPr>
          <w:rFonts w:ascii="Calibri" w:hAnsi="宋体"/>
          <w:color w:val="auto"/>
          <w:szCs w:val="21"/>
          <w:highlight w:val="none"/>
        </w:rPr>
      </w:pPr>
      <w:r>
        <w:rPr>
          <w:rFonts w:ascii="Calibri" w:hAnsi="宋体"/>
          <w:color w:val="auto"/>
          <w:szCs w:val="21"/>
          <w:highlight w:val="none"/>
        </w:rPr>
        <w:t>7.本签字人确认资格文件中的说明是真实的、准确的。</w:t>
      </w:r>
    </w:p>
    <w:p>
      <w:pPr>
        <w:widowControl/>
        <w:spacing w:line="480" w:lineRule="exact"/>
        <w:ind w:firstLine="420" w:firstLineChars="200"/>
        <w:rPr>
          <w:rFonts w:ascii="Calibri" w:hAnsi="宋体" w:cs="宋体"/>
          <w:b/>
          <w:color w:val="auto"/>
          <w:szCs w:val="21"/>
          <w:highlight w:val="none"/>
        </w:rPr>
      </w:pPr>
      <w:r>
        <w:rPr>
          <w:rFonts w:ascii="Calibri" w:hAnsi="宋体"/>
          <w:color w:val="auto"/>
          <w:szCs w:val="21"/>
          <w:highlight w:val="none"/>
        </w:rPr>
        <w:t>8.我方提供的服务为合法的供应商所提供。</w:t>
      </w:r>
    </w:p>
    <w:p>
      <w:pPr>
        <w:spacing w:line="480" w:lineRule="exact"/>
        <w:rPr>
          <w:rFonts w:ascii="宋体" w:hAnsi="宋体"/>
          <w:b/>
          <w:color w:val="auto"/>
          <w:szCs w:val="21"/>
          <w:highlight w:val="none"/>
          <w:u w:val="single"/>
        </w:rPr>
      </w:pPr>
      <w:r>
        <w:rPr>
          <w:rFonts w:ascii="宋体" w:hAnsi="宋体"/>
          <w:b/>
          <w:color w:val="auto"/>
          <w:szCs w:val="21"/>
          <w:highlight w:val="none"/>
        </w:rPr>
        <w:t>供应商代表签字及盖公章：</w:t>
      </w:r>
      <w:r>
        <w:rPr>
          <w:rFonts w:ascii="宋体" w:hAnsi="宋体"/>
          <w:b/>
          <w:color w:val="auto"/>
          <w:szCs w:val="21"/>
          <w:highlight w:val="none"/>
          <w:u w:val="single"/>
        </w:rPr>
        <w:t xml:space="preserve">                              </w:t>
      </w:r>
    </w:p>
    <w:p>
      <w:pPr>
        <w:spacing w:line="480" w:lineRule="exact"/>
        <w:rPr>
          <w:rFonts w:ascii="宋体" w:hAnsi="宋体"/>
          <w:b/>
          <w:color w:val="auto"/>
          <w:szCs w:val="21"/>
          <w:highlight w:val="none"/>
          <w:u w:val="single"/>
        </w:rPr>
      </w:pPr>
    </w:p>
    <w:p>
      <w:pPr>
        <w:keepNext/>
        <w:keepLines/>
        <w:widowControl/>
        <w:spacing w:line="480" w:lineRule="exact"/>
        <w:outlineLvl w:val="1"/>
        <w:rPr>
          <w:rFonts w:ascii="宋体" w:hAnsi="宋体" w:cs="宋体"/>
          <w:b/>
          <w:bCs/>
          <w:color w:val="auto"/>
          <w:szCs w:val="21"/>
          <w:highlight w:val="none"/>
        </w:rPr>
      </w:pPr>
      <w:bookmarkStart w:id="112" w:name="_Toc99635349"/>
      <w:r>
        <w:rPr>
          <w:rFonts w:hint="eastAsia" w:ascii="宋体" w:hAnsi="宋体" w:cs="宋体"/>
          <w:b/>
          <w:bCs/>
          <w:color w:val="auto"/>
          <w:szCs w:val="21"/>
          <w:highlight w:val="none"/>
        </w:rPr>
        <w:t>十、授权委托书</w:t>
      </w:r>
      <w:bookmarkEnd w:id="97"/>
      <w:bookmarkEnd w:id="98"/>
      <w:bookmarkEnd w:id="99"/>
      <w:bookmarkEnd w:id="100"/>
      <w:bookmarkEnd w:id="101"/>
      <w:bookmarkEnd w:id="102"/>
      <w:bookmarkEnd w:id="103"/>
      <w:bookmarkEnd w:id="104"/>
      <w:bookmarkEnd w:id="105"/>
      <w:bookmarkEnd w:id="106"/>
      <w:bookmarkEnd w:id="107"/>
      <w:bookmarkEnd w:id="108"/>
      <w:bookmarkEnd w:id="112"/>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本授权书声明：注册于</w:t>
      </w:r>
      <w:r>
        <w:rPr>
          <w:rFonts w:hint="eastAsia" w:ascii="宋体" w:hAnsi="宋体" w:cs="宋体"/>
          <w:color w:val="auto"/>
          <w:szCs w:val="21"/>
          <w:highlight w:val="none"/>
          <w:u w:val="single"/>
        </w:rPr>
        <w:t>（供应商注册地）</w:t>
      </w:r>
      <w:r>
        <w:rPr>
          <w:rFonts w:hint="eastAsia" w:ascii="宋体" w:hAnsi="宋体" w:cs="宋体"/>
          <w:color w:val="auto"/>
          <w:szCs w:val="21"/>
          <w:highlight w:val="none"/>
        </w:rPr>
        <w:t>的</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w:t>
      </w:r>
      <w:r>
        <w:rPr>
          <w:rFonts w:hint="eastAsia" w:ascii="宋体" w:hAnsi="宋体" w:cs="宋体"/>
          <w:color w:val="auto"/>
          <w:szCs w:val="21"/>
          <w:highlight w:val="none"/>
          <w:u w:val="single"/>
        </w:rPr>
        <w:t>在下面签字的（法定代表人/负责人姓名、职务）</w:t>
      </w:r>
      <w:r>
        <w:rPr>
          <w:rFonts w:hint="eastAsia" w:ascii="宋体" w:hAnsi="宋体" w:cs="宋体"/>
          <w:color w:val="auto"/>
          <w:szCs w:val="21"/>
          <w:highlight w:val="none"/>
        </w:rPr>
        <w:t>代表我单位</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授权，</w:t>
      </w:r>
      <w:r>
        <w:rPr>
          <w:rFonts w:hint="eastAsia" w:ascii="宋体" w:hAnsi="宋体" w:cs="宋体"/>
          <w:color w:val="auto"/>
          <w:szCs w:val="21"/>
          <w:highlight w:val="none"/>
          <w:u w:val="single"/>
        </w:rPr>
        <w:t>在下面签字的（被授权人的姓名、职务）</w:t>
      </w:r>
      <w:r>
        <w:rPr>
          <w:rFonts w:hint="eastAsia" w:ascii="宋体" w:hAnsi="宋体" w:cs="宋体"/>
          <w:color w:val="auto"/>
          <w:szCs w:val="21"/>
          <w:highlight w:val="none"/>
        </w:rPr>
        <w:t>为我单位的合法代理人，就</w:t>
      </w:r>
      <w:r>
        <w:rPr>
          <w:rFonts w:hint="eastAsia" w:ascii="宋体" w:hAnsi="宋体" w:cs="宋体"/>
          <w:color w:val="auto"/>
          <w:szCs w:val="21"/>
          <w:highlight w:val="none"/>
          <w:u w:val="single"/>
        </w:rPr>
        <w:t>2024年城建档案资料数字化加工服务项目</w:t>
      </w:r>
      <w:r>
        <w:rPr>
          <w:rFonts w:hint="eastAsia" w:ascii="宋体" w:hAnsi="宋体" w:cs="宋体"/>
          <w:color w:val="auto"/>
          <w:szCs w:val="21"/>
          <w:highlight w:val="none"/>
        </w:rPr>
        <w:t>的响应，以我单位名义处理一切与之有关的事务。</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本授权书于2024年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日签字生效，特此声明。</w:t>
      </w:r>
    </w:p>
    <w:p>
      <w:pPr>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供应商名称（盖公章）：</w:t>
      </w:r>
      <w:r>
        <w:rPr>
          <w:rFonts w:hint="eastAsia" w:ascii="宋体" w:hAnsi="宋体" w:cs="宋体"/>
          <w:b/>
          <w:color w:val="auto"/>
          <w:szCs w:val="21"/>
          <w:highlight w:val="none"/>
          <w:u w:val="single"/>
        </w:rPr>
        <w:t xml:space="preserve">                        </w:t>
      </w:r>
    </w:p>
    <w:p>
      <w:pPr>
        <w:spacing w:line="48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法定代表人/负责人签字（或盖私章）：</w:t>
      </w:r>
      <w:r>
        <w:rPr>
          <w:rFonts w:hint="eastAsia" w:ascii="宋体" w:hAnsi="宋体" w:cs="宋体"/>
          <w:bCs/>
          <w:color w:val="auto"/>
          <w:szCs w:val="21"/>
          <w:highlight w:val="none"/>
          <w:u w:val="single"/>
        </w:rPr>
        <w:t xml:space="preserve">                             </w:t>
      </w:r>
    </w:p>
    <w:p>
      <w:pPr>
        <w:spacing w:line="4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被授权人签字：</w:t>
      </w:r>
      <w:r>
        <w:rPr>
          <w:rFonts w:hint="eastAsia" w:ascii="宋体" w:hAnsi="宋体" w:cs="宋体"/>
          <w:b/>
          <w:color w:val="auto"/>
          <w:szCs w:val="21"/>
          <w:highlight w:val="none"/>
          <w:u w:val="single"/>
        </w:rPr>
        <w:t xml:space="preserve">                               </w:t>
      </w:r>
    </w:p>
    <w:p>
      <w:pPr>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注：1、需提供法定代表人/负责人和被授权人的身份证复印件。</w:t>
      </w:r>
    </w:p>
    <w:p>
      <w:pPr>
        <w:spacing w:line="480" w:lineRule="exact"/>
        <w:ind w:firstLine="843" w:firstLineChars="400"/>
        <w:rPr>
          <w:rFonts w:ascii="宋体" w:hAnsi="宋体" w:cs="宋体"/>
          <w:b/>
          <w:color w:val="auto"/>
          <w:szCs w:val="21"/>
          <w:highlight w:val="none"/>
        </w:rPr>
      </w:pPr>
      <w:r>
        <w:rPr>
          <w:rFonts w:hint="eastAsia" w:ascii="宋体" w:hAnsi="宋体" w:cs="宋体"/>
          <w:b/>
          <w:color w:val="auto"/>
          <w:szCs w:val="21"/>
          <w:highlight w:val="none"/>
        </w:rPr>
        <w:t>2、如供应商由法定代表人/负责人参加响应及签署响应文件，则应当提交法定代表人/负责人证明书和身份证的复印件（加盖单位公章）代替《授权委托书》。</w:t>
      </w:r>
    </w:p>
    <w:p>
      <w:pPr>
        <w:widowControl/>
        <w:spacing w:line="480" w:lineRule="exact"/>
        <w:ind w:firstLine="680" w:firstLineChars="200"/>
        <w:rPr>
          <w:rFonts w:ascii="Calibri" w:hAnsi="宋体"/>
          <w:color w:val="auto"/>
          <w:szCs w:val="21"/>
          <w:highlight w:val="none"/>
          <w:u w:val="single"/>
        </w:rPr>
      </w:pPr>
      <w:r>
        <w:rPr>
          <w:rFonts w:ascii="Calibri"/>
          <w:color w:val="auto"/>
          <w:sz w:val="34"/>
          <w:szCs w:val="20"/>
          <w:highlight w:val="none"/>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238125</wp:posOffset>
                </wp:positionV>
                <wp:extent cx="2353945" cy="1208405"/>
                <wp:effectExtent l="4445" t="4445" r="22860" b="6350"/>
                <wp:wrapNone/>
                <wp:docPr id="8" name="圆角矩形 8"/>
                <wp:cNvGraphicFramePr/>
                <a:graphic xmlns:a="http://schemas.openxmlformats.org/drawingml/2006/main">
                  <a:graphicData uri="http://schemas.microsoft.com/office/word/2010/wordprocessingShape">
                    <wps:wsp>
                      <wps:cNvSpPr/>
                      <wps:spPr>
                        <a:xfrm>
                          <a:off x="0" y="0"/>
                          <a:ext cx="2353945" cy="12084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4"/>
                              <w:widowControl w:val="0"/>
                              <w:spacing w:beforeAutospacing="0" w:afterAutospacing="0" w:line="400" w:lineRule="exact"/>
                              <w:jc w:val="center"/>
                              <w:rPr>
                                <w:color w:val="000000"/>
                                <w:szCs w:val="22"/>
                              </w:rPr>
                            </w:pPr>
                            <w:r>
                              <w:rPr>
                                <w:rFonts w:hAnsi="Courier New"/>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3pt;margin-top:18.75pt;height:95.15pt;width:185.35pt;z-index:251660288;mso-width-relative:page;mso-height-relative:page;" fillcolor="#FFFFFF" filled="t" stroked="t" coordsize="21600,21600" arcsize="0.166666666666667" o:gfxdata="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yV611QAAAAgBAAAPAAAAAAAAAAEAIAAA&#10;ACIAAABkcnMvZG93bnJldi54bWxQSwECFAAUAAAACACHTuJAeLsa/A8CAAAXBAAADgAAAAAAAAAB&#10;ACAAAAAkAQAAZHJzL2Uyb0RvYy54bWxQSwUGAAAAAAYABgBZAQAApQUAAAAA&#10;">
                <v:fill on="t" focussize="0,0"/>
                <v:stroke color="#000000" joinstyle="round"/>
                <v:imagedata o:title=""/>
                <o:lock v:ext="edit" aspectratio="f"/>
                <v:textbo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4"/>
                        <w:widowControl w:val="0"/>
                        <w:spacing w:beforeAutospacing="0" w:afterAutospacing="0" w:line="400" w:lineRule="exact"/>
                        <w:jc w:val="center"/>
                        <w:rPr>
                          <w:color w:val="000000"/>
                          <w:szCs w:val="22"/>
                        </w:rPr>
                      </w:pPr>
                      <w:r>
                        <w:rPr>
                          <w:rFonts w:hAnsi="Courier New"/>
                          <w:color w:val="000000"/>
                          <w:kern w:val="2"/>
                          <w:sz w:val="21"/>
                          <w:szCs w:val="22"/>
                        </w:rPr>
                        <w:t>复印件正面</w:t>
                      </w:r>
                    </w:p>
                  </w:txbxContent>
                </v:textbox>
              </v:roundrect>
            </w:pict>
          </mc:Fallback>
        </mc:AlternateContent>
      </w:r>
      <w:r>
        <w:rPr>
          <w:rFonts w:ascii="Calibri"/>
          <w:color w:val="auto"/>
          <w:sz w:val="34"/>
          <w:szCs w:val="20"/>
          <w:highlight w:val="none"/>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1759585</wp:posOffset>
                </wp:positionV>
                <wp:extent cx="2417445" cy="1168400"/>
                <wp:effectExtent l="4445" t="5080" r="16510" b="7620"/>
                <wp:wrapNone/>
                <wp:docPr id="7" name="圆角矩形 7"/>
                <wp:cNvGraphicFramePr/>
                <a:graphic xmlns:a="http://schemas.openxmlformats.org/drawingml/2006/main">
                  <a:graphicData uri="http://schemas.microsoft.com/office/word/2010/wordprocessingShape">
                    <wps:wsp>
                      <wps:cNvSpPr/>
                      <wps:spPr>
                        <a:xfrm>
                          <a:off x="0" y="0"/>
                          <a:ext cx="2417445" cy="11684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4"/>
                              <w:widowControl w:val="0"/>
                              <w:spacing w:beforeAutospacing="0" w:afterAutospacing="0" w:line="400" w:lineRule="exact"/>
                              <w:jc w:val="center"/>
                              <w:rPr>
                                <w:color w:val="000000"/>
                                <w:szCs w:val="22"/>
                              </w:rPr>
                            </w:pPr>
                            <w:r>
                              <w:rPr>
                                <w:rFonts w:hAnsi="Courier New"/>
                                <w:color w:val="000000"/>
                                <w:kern w:val="2"/>
                                <w:sz w:val="21"/>
                                <w:szCs w:val="22"/>
                              </w:rPr>
                              <w:t>正面</w:t>
                            </w:r>
                          </w:p>
                        </w:txbxContent>
                      </wps:txbx>
                      <wps:bodyPr upright="1"/>
                    </wps:wsp>
                  </a:graphicData>
                </a:graphic>
              </wp:anchor>
            </w:drawing>
          </mc:Choice>
          <mc:Fallback>
            <w:pict>
              <v:roundrect id="_x0000_s1026" o:spid="_x0000_s1026" o:spt="2" style="position:absolute;left:0pt;margin-left:3.3pt;margin-top:138.55pt;height:92pt;width:190.35pt;z-index:251662336;mso-width-relative:page;mso-height-relative:page;" fillcolor="#FFFFFF" filled="t" stroked="t" coordsize="21600,21600" arcsize="0.166666666666667" o:gfxdata="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OEBfrWAAAACQEAAA8AAAAAAAAAAQAg&#10;AAAAIgAAAGRycy9kb3ducmV2LnhtbFBLAQIUABQAAAAIAIdO4kDTxg/UEAIAABcEAAAOAAAAAAAA&#10;AAEAIAAAACUBAABkcnMvZTJvRG9jLnhtbFBLBQYAAAAABgAGAFkBAACnBQAAAAA=&#10;">
                <v:fill on="t" focussize="0,0"/>
                <v:stroke color="#000000" joinstyle="round"/>
                <v:imagedata o:title=""/>
                <o:lock v:ext="edit" aspectratio="f"/>
                <v:textbo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4"/>
                        <w:widowControl w:val="0"/>
                        <w:spacing w:beforeAutospacing="0" w:afterAutospacing="0" w:line="400" w:lineRule="exact"/>
                        <w:jc w:val="center"/>
                        <w:rPr>
                          <w:color w:val="000000"/>
                          <w:szCs w:val="22"/>
                        </w:rPr>
                      </w:pPr>
                      <w:r>
                        <w:rPr>
                          <w:rFonts w:hAnsi="Courier New"/>
                          <w:color w:val="000000"/>
                          <w:kern w:val="2"/>
                          <w:sz w:val="21"/>
                          <w:szCs w:val="22"/>
                        </w:rPr>
                        <w:t>正面</w:t>
                      </w:r>
                    </w:p>
                  </w:txbxContent>
                </v:textbox>
              </v:roundrect>
            </w:pict>
          </mc:Fallback>
        </mc:AlternateContent>
      </w:r>
      <w:r>
        <w:rPr>
          <w:rFonts w:ascii="Calibri"/>
          <w:color w:val="auto"/>
          <w:sz w:val="34"/>
          <w:szCs w:val="20"/>
          <w:highlight w:val="none"/>
        </w:rPr>
        <mc:AlternateContent>
          <mc:Choice Requires="wps">
            <w:drawing>
              <wp:anchor distT="0" distB="0" distL="114300" distR="114300" simplePos="0" relativeHeight="251663360" behindDoc="0" locked="0" layoutInCell="1" allowOverlap="1">
                <wp:simplePos x="0" y="0"/>
                <wp:positionH relativeFrom="column">
                  <wp:posOffset>2976245</wp:posOffset>
                </wp:positionH>
                <wp:positionV relativeFrom="paragraph">
                  <wp:posOffset>1759585</wp:posOffset>
                </wp:positionV>
                <wp:extent cx="2313940" cy="1216025"/>
                <wp:effectExtent l="4445" t="5080" r="5715" b="17145"/>
                <wp:wrapNone/>
                <wp:docPr id="6" name="圆角矩形 6"/>
                <wp:cNvGraphicFramePr/>
                <a:graphic xmlns:a="http://schemas.openxmlformats.org/drawingml/2006/main">
                  <a:graphicData uri="http://schemas.microsoft.com/office/word/2010/wordprocessingShape">
                    <wps:wsp>
                      <wps:cNvSpPr/>
                      <wps:spPr>
                        <a:xfrm>
                          <a:off x="0" y="0"/>
                          <a:ext cx="2313940" cy="12160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4"/>
                              <w:widowControl w:val="0"/>
                              <w:spacing w:beforeAutospacing="0" w:afterAutospacing="0" w:line="400" w:lineRule="exact"/>
                              <w:jc w:val="center"/>
                            </w:pPr>
                            <w:r>
                              <w:rPr>
                                <w:rFonts w:hAnsi="Courier New"/>
                                <w:color w:val="000000"/>
                                <w:kern w:val="2"/>
                                <w:sz w:val="21"/>
                                <w:szCs w:val="22"/>
                              </w:rPr>
                              <w:t>反面</w:t>
                            </w:r>
                          </w:p>
                        </w:txbxContent>
                      </wps:txbx>
                      <wps:bodyPr upright="1"/>
                    </wps:wsp>
                  </a:graphicData>
                </a:graphic>
              </wp:anchor>
            </w:drawing>
          </mc:Choice>
          <mc:Fallback>
            <w:pict>
              <v:roundrect id="_x0000_s1026" o:spid="_x0000_s1026" o:spt="2" style="position:absolute;left:0pt;margin-left:234.35pt;margin-top:138.55pt;height:95.75pt;width:182.2pt;z-index:251663360;mso-width-relative:page;mso-height-relative:page;" fillcolor="#FFFFFF" filled="t" stroked="t" coordsize="21600,21600" arcsize="0.166666666666667" o:gfxdata="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LatSOtYAAAALAQAADwAAAAAAAAABACAA&#10;AAAiAAAAZHJzL2Rvd25yZXYueG1sUEsBAhQAFAAAAAgAh07iQKGSMRMPAgAAFwQAAA4AAAAAAAAA&#10;AQAgAAAAJQEAAGRycy9lMm9Eb2MueG1sUEsFBgAAAAAGAAYAWQEAAKYFAAAAAA==&#10;">
                <v:fill on="t" focussize="0,0"/>
                <v:stroke color="#000000" joinstyle="round"/>
                <v:imagedata o:title=""/>
                <o:lock v:ext="edit" aspectratio="f"/>
                <v:textbo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粘贴被授权人身份证复印件</w:t>
                      </w:r>
                    </w:p>
                    <w:p>
                      <w:pPr>
                        <w:pStyle w:val="4"/>
                        <w:widowControl w:val="0"/>
                        <w:spacing w:beforeAutospacing="0" w:afterAutospacing="0" w:line="400" w:lineRule="exact"/>
                        <w:jc w:val="center"/>
                      </w:pPr>
                      <w:r>
                        <w:rPr>
                          <w:rFonts w:hAnsi="Courier New"/>
                          <w:color w:val="000000"/>
                          <w:kern w:val="2"/>
                          <w:sz w:val="21"/>
                          <w:szCs w:val="22"/>
                        </w:rPr>
                        <w:t>反面</w:t>
                      </w:r>
                    </w:p>
                  </w:txbxContent>
                </v:textbox>
              </v:roundrect>
            </w:pict>
          </mc:Fallback>
        </mc:AlternateContent>
      </w:r>
      <w:r>
        <w:rPr>
          <w:rFonts w:ascii="Calibri"/>
          <w:color w:val="auto"/>
          <w:sz w:val="34"/>
          <w:szCs w:val="20"/>
          <w:highlight w:val="none"/>
        </w:rPr>
        <mc:AlternateContent>
          <mc:Choice Requires="wps">
            <w:drawing>
              <wp:anchor distT="0" distB="0" distL="114300" distR="114300" simplePos="0" relativeHeight="251661312" behindDoc="0" locked="0" layoutInCell="1" allowOverlap="1">
                <wp:simplePos x="0" y="0"/>
                <wp:positionH relativeFrom="column">
                  <wp:posOffset>3023870</wp:posOffset>
                </wp:positionH>
                <wp:positionV relativeFrom="paragraph">
                  <wp:posOffset>238125</wp:posOffset>
                </wp:positionV>
                <wp:extent cx="2266315" cy="1144905"/>
                <wp:effectExtent l="4445" t="4445" r="15240" b="12700"/>
                <wp:wrapNone/>
                <wp:docPr id="5" name="圆角矩形 5"/>
                <wp:cNvGraphicFramePr/>
                <a:graphic xmlns:a="http://schemas.openxmlformats.org/drawingml/2006/main">
                  <a:graphicData uri="http://schemas.microsoft.com/office/word/2010/wordprocessingShape">
                    <wps:wsp>
                      <wps:cNvSpPr/>
                      <wps:spPr>
                        <a:xfrm>
                          <a:off x="0" y="0"/>
                          <a:ext cx="2266315" cy="11449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38.1pt;margin-top:18.75pt;height:90.15pt;width:178.45pt;z-index:251661312;mso-width-relative:page;mso-height-relative:page;" fillcolor="#FFFFFF" filled="t" stroked="t" coordsize="21600,21600" arcsize="0.166666666666667" o:gfxdata="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9R9y9cAAAAKAQAADwAAAAAAAAABACAA&#10;AAAiAAAAZHJzL2Rvd25yZXYueG1sUEsBAhQAFAAAAAgAh07iQD7m5NAOAgAAFwQAAA4AAAAAAAAA&#10;AQAgAAAAJgEAAGRycy9lMm9Eb2MueG1sUEsFBgAAAAAGAAYAWQEAAKYFAAAAAA==&#10;">
                <v:fill on="t" focussize="0,0"/>
                <v:stroke color="#000000" joinstyle="round"/>
                <v:imagedata o:title=""/>
                <o:lock v:ext="edit" aspectratio="f"/>
                <v:textbo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v:textbox>
              </v:roundrect>
            </w:pict>
          </mc:Fallback>
        </mc:AlternateContent>
      </w: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keepNext/>
        <w:keepLines/>
        <w:widowControl/>
        <w:spacing w:line="400" w:lineRule="exact"/>
        <w:outlineLvl w:val="1"/>
        <w:rPr>
          <w:rFonts w:ascii="宋体" w:hAnsi="宋体" w:cs="宋体"/>
          <w:b/>
          <w:color w:val="auto"/>
          <w:szCs w:val="21"/>
          <w:highlight w:val="none"/>
        </w:rPr>
      </w:pPr>
      <w:bookmarkStart w:id="113" w:name="_Toc46333774"/>
      <w:bookmarkStart w:id="114" w:name="_Toc99635350"/>
      <w:bookmarkStart w:id="115" w:name="_Toc23366"/>
      <w:bookmarkStart w:id="116" w:name="_Toc41926727"/>
    </w:p>
    <w:p>
      <w:pPr>
        <w:keepNext/>
        <w:keepLines/>
        <w:widowControl/>
        <w:spacing w:line="400" w:lineRule="exact"/>
        <w:outlineLvl w:val="1"/>
        <w:rPr>
          <w:rFonts w:ascii="宋体" w:hAnsi="宋体" w:cs="宋体"/>
          <w:b/>
          <w:color w:val="auto"/>
          <w:szCs w:val="21"/>
          <w:highlight w:val="none"/>
        </w:rPr>
      </w:pPr>
      <w:r>
        <w:rPr>
          <w:rFonts w:hint="eastAsia" w:ascii="宋体" w:hAnsi="宋体" w:cs="宋体"/>
          <w:b/>
          <w:bCs/>
          <w:color w:val="auto"/>
          <w:szCs w:val="21"/>
          <w:highlight w:val="none"/>
        </w:rPr>
        <w:t>十一、法定代表人/负责人证明书</w:t>
      </w:r>
      <w:bookmarkEnd w:id="113"/>
      <w:bookmarkEnd w:id="114"/>
      <w:bookmarkEnd w:id="115"/>
      <w:bookmarkEnd w:id="116"/>
    </w:p>
    <w:p>
      <w:pPr>
        <w:spacing w:line="400" w:lineRule="exact"/>
        <w:ind w:firstLine="420" w:firstLineChars="200"/>
        <w:rPr>
          <w:rFonts w:ascii="Arial Unicode MS" w:hAnsi="Arial Unicode MS" w:eastAsia="Arial Unicode MS"/>
          <w:color w:val="auto"/>
          <w:kern w:val="0"/>
          <w:sz w:val="24"/>
          <w:highlight w:val="none"/>
          <w:u w:val="single"/>
        </w:rPr>
      </w:pPr>
      <w:r>
        <w:rPr>
          <w:rFonts w:ascii="宋体" w:hAnsi="Courier New"/>
          <w:color w:val="auto"/>
          <w:szCs w:val="20"/>
          <w:highlight w:val="none"/>
        </w:rPr>
        <w:t>单位名称：</w:t>
      </w:r>
      <w:r>
        <w:rPr>
          <w:rFonts w:ascii="宋体" w:hAnsi="宋体"/>
          <w:color w:val="auto"/>
          <w:szCs w:val="21"/>
          <w:highlight w:val="none"/>
          <w:u w:val="single"/>
        </w:rPr>
        <w:t xml:space="preserve">           </w:t>
      </w:r>
    </w:p>
    <w:p>
      <w:pPr>
        <w:spacing w:line="480" w:lineRule="exact"/>
        <w:ind w:firstLine="420" w:firstLineChars="200"/>
        <w:rPr>
          <w:rFonts w:ascii="Arial Unicode MS" w:hAnsi="Arial Unicode MS" w:eastAsia="Arial Unicode MS"/>
          <w:color w:val="auto"/>
          <w:kern w:val="0"/>
          <w:sz w:val="24"/>
          <w:highlight w:val="none"/>
          <w:u w:val="single"/>
        </w:rPr>
      </w:pPr>
      <w:r>
        <w:rPr>
          <w:rFonts w:ascii="宋体" w:hAnsi="Courier New"/>
          <w:color w:val="auto"/>
          <w:szCs w:val="20"/>
          <w:highlight w:val="none"/>
        </w:rPr>
        <w:t>地址：</w:t>
      </w:r>
      <w:r>
        <w:rPr>
          <w:rFonts w:ascii="宋体" w:hAnsi="宋体"/>
          <w:color w:val="auto"/>
          <w:szCs w:val="21"/>
          <w:highlight w:val="none"/>
          <w:u w:val="single"/>
        </w:rPr>
        <w:t xml:space="preserve">           </w:t>
      </w:r>
    </w:p>
    <w:p>
      <w:pPr>
        <w:spacing w:line="480" w:lineRule="exact"/>
        <w:ind w:firstLine="420" w:firstLineChars="200"/>
        <w:rPr>
          <w:rFonts w:ascii="Arial Unicode MS" w:hAnsi="Arial Unicode MS" w:eastAsia="Arial Unicode MS"/>
          <w:color w:val="auto"/>
          <w:kern w:val="0"/>
          <w:sz w:val="24"/>
          <w:highlight w:val="none"/>
          <w:u w:val="single"/>
        </w:rPr>
      </w:pPr>
      <w:r>
        <w:rPr>
          <w:rFonts w:ascii="宋体" w:hAnsi="Courier New"/>
          <w:color w:val="auto"/>
          <w:szCs w:val="20"/>
          <w:highlight w:val="none"/>
        </w:rPr>
        <w:t>姓名：</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ascii="宋体" w:hAnsi="Courier New"/>
          <w:color w:val="auto"/>
          <w:szCs w:val="20"/>
          <w:highlight w:val="none"/>
        </w:rPr>
        <w:t>性别：</w:t>
      </w:r>
      <w:r>
        <w:rPr>
          <w:rFonts w:ascii="宋体" w:hAnsi="宋体"/>
          <w:color w:val="auto"/>
          <w:szCs w:val="21"/>
          <w:highlight w:val="none"/>
          <w:u w:val="single"/>
        </w:rPr>
        <w:t xml:space="preserve">           </w:t>
      </w:r>
      <w:r>
        <w:rPr>
          <w:rFonts w:ascii="宋体" w:hAnsi="Courier New"/>
          <w:color w:val="auto"/>
          <w:szCs w:val="20"/>
          <w:highlight w:val="none"/>
        </w:rPr>
        <w:t xml:space="preserve"> 年龄：</w:t>
      </w:r>
      <w:r>
        <w:rPr>
          <w:rFonts w:ascii="宋体" w:hAnsi="宋体"/>
          <w:color w:val="auto"/>
          <w:szCs w:val="21"/>
          <w:highlight w:val="none"/>
          <w:u w:val="single"/>
        </w:rPr>
        <w:t xml:space="preserve">           </w:t>
      </w:r>
      <w:r>
        <w:rPr>
          <w:rFonts w:ascii="宋体" w:hAnsi="Courier New"/>
          <w:color w:val="auto"/>
          <w:szCs w:val="20"/>
          <w:highlight w:val="none"/>
        </w:rPr>
        <w:t xml:space="preserve"> 职务：</w:t>
      </w:r>
      <w:r>
        <w:rPr>
          <w:rFonts w:ascii="宋体" w:hAnsi="宋体"/>
          <w:color w:val="auto"/>
          <w:szCs w:val="21"/>
          <w:highlight w:val="none"/>
          <w:u w:val="single"/>
        </w:rPr>
        <w:t xml:space="preserve">           </w:t>
      </w:r>
    </w:p>
    <w:p>
      <w:pPr>
        <w:spacing w:line="480" w:lineRule="exact"/>
        <w:ind w:firstLine="420" w:firstLineChars="200"/>
        <w:rPr>
          <w:rFonts w:ascii="Arial Unicode MS" w:hAnsi="Arial Unicode MS" w:eastAsia="Arial Unicode MS"/>
          <w:color w:val="auto"/>
          <w:kern w:val="0"/>
          <w:sz w:val="24"/>
          <w:highlight w:val="none"/>
          <w:u w:val="single"/>
        </w:rPr>
      </w:pPr>
      <w:r>
        <w:rPr>
          <w:rFonts w:ascii="宋体" w:hAnsi="Courier New"/>
          <w:color w:val="auto"/>
          <w:szCs w:val="20"/>
          <w:highlight w:val="none"/>
        </w:rPr>
        <w:t xml:space="preserve">身份证号码： </w:t>
      </w:r>
      <w:r>
        <w:rPr>
          <w:rFonts w:ascii="宋体" w:hAnsi="宋体"/>
          <w:color w:val="auto"/>
          <w:szCs w:val="21"/>
          <w:highlight w:val="none"/>
          <w:u w:val="single"/>
        </w:rPr>
        <w:t xml:space="preserve">                </w:t>
      </w:r>
    </w:p>
    <w:p>
      <w:pPr>
        <w:spacing w:line="480" w:lineRule="exact"/>
        <w:ind w:firstLine="420" w:firstLineChars="200"/>
        <w:rPr>
          <w:rFonts w:ascii="Arial Unicode MS" w:hAnsi="Arial Unicode MS" w:eastAsia="Arial Unicode MS"/>
          <w:color w:val="auto"/>
          <w:kern w:val="0"/>
          <w:sz w:val="24"/>
          <w:highlight w:val="none"/>
        </w:rPr>
      </w:pPr>
      <w:r>
        <w:rPr>
          <w:rFonts w:ascii="宋体" w:hAnsi="Courier New"/>
          <w:color w:val="auto"/>
          <w:szCs w:val="20"/>
          <w:highlight w:val="none"/>
        </w:rPr>
        <w:t>系</w:t>
      </w:r>
      <w:r>
        <w:rPr>
          <w:rFonts w:ascii="宋体" w:hAnsi="Courier New"/>
          <w:color w:val="auto"/>
          <w:szCs w:val="20"/>
          <w:highlight w:val="none"/>
          <w:u w:val="single"/>
        </w:rPr>
        <w:t xml:space="preserve"> （供应商名称） </w:t>
      </w:r>
      <w:r>
        <w:rPr>
          <w:rFonts w:ascii="宋体" w:hAnsi="Courier New"/>
          <w:color w:val="auto"/>
          <w:szCs w:val="20"/>
          <w:highlight w:val="none"/>
        </w:rPr>
        <w:t>的法定代表人/负责人。</w:t>
      </w:r>
      <w:r>
        <w:rPr>
          <w:rFonts w:ascii="宋体" w:hAnsi="宋体"/>
          <w:color w:val="auto"/>
          <w:szCs w:val="21"/>
          <w:highlight w:val="none"/>
        </w:rPr>
        <w:t>参加</w:t>
      </w:r>
      <w:r>
        <w:rPr>
          <w:rFonts w:ascii="宋体" w:hAnsi="宋体"/>
          <w:color w:val="auto"/>
          <w:szCs w:val="21"/>
          <w:highlight w:val="none"/>
          <w:u w:val="single"/>
        </w:rPr>
        <w:t>202</w:t>
      </w:r>
      <w:r>
        <w:rPr>
          <w:rFonts w:hint="eastAsia" w:ascii="宋体" w:hAnsi="宋体"/>
          <w:color w:val="auto"/>
          <w:szCs w:val="21"/>
          <w:highlight w:val="none"/>
          <w:u w:val="single"/>
          <w:lang w:val="en-US" w:eastAsia="zh-CN"/>
        </w:rPr>
        <w:t>4</w:t>
      </w:r>
      <w:r>
        <w:rPr>
          <w:rFonts w:ascii="宋体" w:hAnsi="宋体"/>
          <w:color w:val="auto"/>
          <w:szCs w:val="21"/>
          <w:highlight w:val="none"/>
          <w:u w:val="single"/>
        </w:rPr>
        <w:t>年</w:t>
      </w:r>
      <w:r>
        <w:rPr>
          <w:rFonts w:hint="eastAsia" w:ascii="宋体" w:hAnsi="宋体"/>
          <w:color w:val="auto"/>
          <w:szCs w:val="21"/>
          <w:highlight w:val="none"/>
          <w:u w:val="single"/>
        </w:rPr>
        <w:t>城建档案资料数字化加工服务项目</w:t>
      </w:r>
      <w:r>
        <w:rPr>
          <w:rFonts w:ascii="宋体" w:hAnsi="宋体"/>
          <w:color w:val="auto"/>
          <w:szCs w:val="21"/>
          <w:highlight w:val="none"/>
        </w:rPr>
        <w:t>的响应</w:t>
      </w:r>
      <w:r>
        <w:rPr>
          <w:rFonts w:ascii="宋体" w:hAnsi="Courier New"/>
          <w:color w:val="auto"/>
          <w:szCs w:val="20"/>
          <w:highlight w:val="none"/>
        </w:rPr>
        <w:t xml:space="preserve">，签署上述项目的响应文件、签署合同和处理与之有关的一切事务。 </w:t>
      </w:r>
    </w:p>
    <w:p>
      <w:pPr>
        <w:spacing w:line="480" w:lineRule="exact"/>
        <w:ind w:firstLine="420" w:firstLineChars="200"/>
        <w:rPr>
          <w:rFonts w:ascii="Arial Unicode MS" w:hAnsi="Arial Unicode MS" w:eastAsia="Arial Unicode MS"/>
          <w:color w:val="auto"/>
          <w:kern w:val="0"/>
          <w:sz w:val="24"/>
          <w:highlight w:val="none"/>
        </w:rPr>
      </w:pPr>
      <w:r>
        <w:rPr>
          <w:rFonts w:ascii="宋体" w:hAnsi="Courier New"/>
          <w:color w:val="auto"/>
          <w:szCs w:val="20"/>
          <w:highlight w:val="none"/>
        </w:rPr>
        <w:t xml:space="preserve">特此证明。 </w:t>
      </w:r>
    </w:p>
    <w:p>
      <w:pPr>
        <w:spacing w:line="480" w:lineRule="exact"/>
        <w:ind w:firstLine="420" w:firstLineChars="200"/>
        <w:rPr>
          <w:rFonts w:ascii="Arial Unicode MS" w:hAnsi="Arial Unicode MS" w:eastAsia="Arial Unicode MS"/>
          <w:color w:val="auto"/>
          <w:kern w:val="0"/>
          <w:sz w:val="24"/>
          <w:highlight w:val="none"/>
          <w:u w:val="single"/>
        </w:rPr>
      </w:pPr>
      <w:r>
        <w:rPr>
          <w:rFonts w:ascii="宋体" w:hAnsi="Courier New"/>
          <w:color w:val="auto"/>
          <w:szCs w:val="20"/>
          <w:highlight w:val="none"/>
        </w:rPr>
        <w:t>供应商名称（盖公章）：</w:t>
      </w:r>
      <w:r>
        <w:rPr>
          <w:rFonts w:ascii="宋体" w:hAnsi="宋体"/>
          <w:color w:val="auto"/>
          <w:szCs w:val="21"/>
          <w:highlight w:val="none"/>
          <w:u w:val="single"/>
        </w:rPr>
        <w:t xml:space="preserve">                </w:t>
      </w:r>
    </w:p>
    <w:p>
      <w:pPr>
        <w:spacing w:line="480" w:lineRule="exact"/>
        <w:ind w:firstLine="420" w:firstLineChars="200"/>
        <w:rPr>
          <w:rFonts w:ascii="Arial Unicode MS" w:hAnsi="Arial Unicode MS" w:eastAsia="Arial Unicode MS"/>
          <w:color w:val="auto"/>
          <w:kern w:val="0"/>
          <w:sz w:val="24"/>
          <w:highlight w:val="none"/>
        </w:rPr>
      </w:pPr>
      <w:r>
        <w:rPr>
          <w:rFonts w:ascii="宋体" w:hAnsi="Courier New"/>
          <w:color w:val="auto"/>
          <w:szCs w:val="20"/>
          <w:highlight w:val="none"/>
        </w:rPr>
        <w:t>日期：</w:t>
      </w:r>
      <w:r>
        <w:rPr>
          <w:rFonts w:ascii="宋体" w:hAnsi="宋体"/>
          <w:color w:val="auto"/>
          <w:szCs w:val="21"/>
          <w:highlight w:val="none"/>
        </w:rPr>
        <w:t>2024年  月  日</w:t>
      </w:r>
    </w:p>
    <w:p>
      <w:pPr>
        <w:spacing w:line="4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注：1、需提供法定代表人/负责人的身份证复印件。</w:t>
      </w:r>
    </w:p>
    <w:p>
      <w:pPr>
        <w:spacing w:line="480" w:lineRule="exact"/>
        <w:ind w:firstLine="843" w:firstLineChars="400"/>
        <w:rPr>
          <w:rFonts w:ascii="宋体" w:hAnsi="宋体" w:cs="宋体"/>
          <w:b/>
          <w:color w:val="auto"/>
          <w:szCs w:val="21"/>
          <w:highlight w:val="none"/>
        </w:rPr>
      </w:pPr>
      <w:r>
        <w:rPr>
          <w:rFonts w:hint="eastAsia" w:ascii="宋体" w:hAnsi="宋体" w:cs="宋体"/>
          <w:b/>
          <w:color w:val="auto"/>
          <w:szCs w:val="21"/>
          <w:highlight w:val="none"/>
        </w:rPr>
        <w:t>2、如供应商由被授权人参加响应及签署响应文件，可不提供该《法定代表人/负责人证明书》。</w:t>
      </w:r>
    </w:p>
    <w:p>
      <w:pPr>
        <w:widowControl/>
        <w:spacing w:line="480" w:lineRule="exact"/>
        <w:ind w:firstLine="680" w:firstLineChars="200"/>
        <w:rPr>
          <w:rFonts w:ascii="Calibri" w:hAnsi="宋体"/>
          <w:color w:val="auto"/>
          <w:szCs w:val="21"/>
          <w:highlight w:val="none"/>
          <w:u w:val="single"/>
        </w:rPr>
      </w:pPr>
      <w:r>
        <w:rPr>
          <w:rFonts w:ascii="Calibri"/>
          <w:color w:val="auto"/>
          <w:sz w:val="34"/>
          <w:szCs w:val="20"/>
          <w:highlight w:val="none"/>
        </w:rPr>
        <mc:AlternateContent>
          <mc:Choice Requires="wps">
            <w:drawing>
              <wp:anchor distT="0" distB="0" distL="114300" distR="114300" simplePos="0" relativeHeight="251665408" behindDoc="0" locked="0" layoutInCell="1" allowOverlap="1">
                <wp:simplePos x="0" y="0"/>
                <wp:positionH relativeFrom="column">
                  <wp:posOffset>3163570</wp:posOffset>
                </wp:positionH>
                <wp:positionV relativeFrom="paragraph">
                  <wp:posOffset>74930</wp:posOffset>
                </wp:positionV>
                <wp:extent cx="2337435" cy="1311910"/>
                <wp:effectExtent l="4445" t="4445" r="20320" b="17145"/>
                <wp:wrapNone/>
                <wp:docPr id="3" name="圆角矩形 3"/>
                <wp:cNvGraphicFramePr/>
                <a:graphic xmlns:a="http://schemas.openxmlformats.org/drawingml/2006/main">
                  <a:graphicData uri="http://schemas.microsoft.com/office/word/2010/wordprocessingShape">
                    <wps:wsp>
                      <wps:cNvSpPr/>
                      <wps:spPr>
                        <a:xfrm>
                          <a:off x="0" y="0"/>
                          <a:ext cx="233743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49.1pt;margin-top:5.9pt;height:103.3pt;width:184.05pt;z-index:251665408;mso-width-relative:page;mso-height-relative:page;" fillcolor="#FFFFFF" filled="t" stroked="t" coordsize="21600,21600" arcsize="0.166666666666667" o:gfxdata="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iEKlvWAAAACgEAAA8AAAAAAAAAAQAg&#10;AAAAIgAAAGRycy9kb3ducmV2LnhtbFBLAQIUABQAAAAIAIdO4kBC0yXTEAIAABcEAAAOAAAAAAAA&#10;AAEAIAAAACUBAABkcnMvZTJvRG9jLnhtbFBLBQYAAAAABgAGAFkBAACnBQAAAAA=&#10;">
                <v:fill on="t" focussize="0,0"/>
                <v:stroke color="#000000" joinstyle="round"/>
                <v:imagedata o:title=""/>
                <o:lock v:ext="edit" aspectratio="f"/>
                <v:textbo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粘贴法定代表人/负责人身份证复印件反面</w:t>
                      </w:r>
                    </w:p>
                  </w:txbxContent>
                </v:textbox>
              </v:roundrect>
            </w:pict>
          </mc:Fallback>
        </mc:AlternateContent>
      </w:r>
      <w:r>
        <w:rPr>
          <w:rFonts w:ascii="Calibri"/>
          <w:color w:val="auto"/>
          <w:sz w:val="34"/>
          <w:szCs w:val="20"/>
          <w:highlight w:val="none"/>
        </w:rPr>
        <mc:AlternateContent>
          <mc:Choice Requires="wps">
            <w:drawing>
              <wp:anchor distT="0" distB="0" distL="114300" distR="114300" simplePos="0" relativeHeight="251664384" behindDoc="0" locked="0" layoutInCell="1" allowOverlap="1">
                <wp:simplePos x="0" y="0"/>
                <wp:positionH relativeFrom="column">
                  <wp:posOffset>40640</wp:posOffset>
                </wp:positionH>
                <wp:positionV relativeFrom="paragraph">
                  <wp:posOffset>93345</wp:posOffset>
                </wp:positionV>
                <wp:extent cx="2369185" cy="1311910"/>
                <wp:effectExtent l="4445" t="4445" r="7620" b="17145"/>
                <wp:wrapNone/>
                <wp:docPr id="4" name="圆角矩形 4"/>
                <wp:cNvGraphicFramePr/>
                <a:graphic xmlns:a="http://schemas.openxmlformats.org/drawingml/2006/main">
                  <a:graphicData uri="http://schemas.microsoft.com/office/word/2010/wordprocessingShape">
                    <wps:wsp>
                      <wps:cNvSpPr/>
                      <wps:spPr>
                        <a:xfrm>
                          <a:off x="0" y="0"/>
                          <a:ext cx="236918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4"/>
                              <w:widowControl w:val="0"/>
                              <w:spacing w:beforeAutospacing="0" w:afterAutospacing="0" w:line="400" w:lineRule="exact"/>
                              <w:jc w:val="center"/>
                              <w:rPr>
                                <w:color w:val="000000"/>
                                <w:szCs w:val="22"/>
                              </w:rPr>
                            </w:pPr>
                            <w:r>
                              <w:rPr>
                                <w:rFonts w:hAnsi="Courier New"/>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2pt;margin-top:7.35pt;height:103.3pt;width:186.55pt;z-index:251664384;mso-width-relative:page;mso-height-relative:page;" fillcolor="#FFFFFF" filled="t" stroked="t" coordsize="21600,21600" arcsize="0.166666666666667" o:gfxdata="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9vTfWAAAACAEAAA8AAAAAAAAAAQAg&#10;AAAAIgAAAGRycy9kb3ducmV2LnhtbFBLAQIUABQAAAAIAIdO4kB0EZd3EAIAABcEAAAOAAAAAAAA&#10;AAEAIAAAACUBAABkcnMvZTJvRG9jLnhtbFBLBQYAAAAABgAGAFkBAACnBQAAAAA=&#10;">
                <v:fill on="t" focussize="0,0"/>
                <v:stroke color="#000000" joinstyle="round"/>
                <v:imagedata o:title=""/>
                <o:lock v:ext="edit" aspectratio="f"/>
                <v:textbox>
                  <w:txbxContent>
                    <w:p>
                      <w:pPr>
                        <w:pStyle w:val="4"/>
                        <w:widowControl w:val="0"/>
                        <w:spacing w:beforeAutospacing="0" w:afterAutospacing="0" w:line="400" w:lineRule="exact"/>
                        <w:jc w:val="center"/>
                        <w:rPr>
                          <w:color w:val="000000"/>
                          <w:szCs w:val="22"/>
                        </w:rPr>
                      </w:pPr>
                    </w:p>
                    <w:p>
                      <w:pPr>
                        <w:pStyle w:val="4"/>
                        <w:widowControl w:val="0"/>
                        <w:spacing w:beforeAutospacing="0" w:afterAutospacing="0" w:line="400" w:lineRule="exact"/>
                        <w:jc w:val="center"/>
                        <w:rPr>
                          <w:color w:val="000000"/>
                          <w:szCs w:val="22"/>
                        </w:rPr>
                      </w:pPr>
                      <w:r>
                        <w:rPr>
                          <w:rFonts w:hAnsi="Courier New"/>
                          <w:color w:val="000000"/>
                          <w:kern w:val="2"/>
                          <w:sz w:val="21"/>
                          <w:szCs w:val="22"/>
                        </w:rPr>
                        <w:t>粘贴法定代表人/负责人身份证</w:t>
                      </w:r>
                    </w:p>
                    <w:p>
                      <w:pPr>
                        <w:pStyle w:val="4"/>
                        <w:widowControl w:val="0"/>
                        <w:spacing w:beforeAutospacing="0" w:afterAutospacing="0" w:line="400" w:lineRule="exact"/>
                        <w:jc w:val="center"/>
                        <w:rPr>
                          <w:color w:val="000000"/>
                          <w:szCs w:val="22"/>
                        </w:rPr>
                      </w:pPr>
                      <w:r>
                        <w:rPr>
                          <w:rFonts w:hAnsi="Courier New"/>
                          <w:color w:val="000000"/>
                          <w:kern w:val="2"/>
                          <w:sz w:val="21"/>
                          <w:szCs w:val="22"/>
                        </w:rPr>
                        <w:t>复印件正面</w:t>
                      </w:r>
                    </w:p>
                  </w:txbxContent>
                </v:textbox>
              </v:roundrect>
            </w:pict>
          </mc:Fallback>
        </mc:AlternateContent>
      </w: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widowControl/>
        <w:spacing w:line="480" w:lineRule="exact"/>
        <w:ind w:firstLine="420" w:firstLineChars="200"/>
        <w:rPr>
          <w:rFonts w:ascii="Calibri" w:hAnsi="宋体"/>
          <w:color w:val="auto"/>
          <w:szCs w:val="21"/>
          <w:highlight w:val="none"/>
          <w:u w:val="single"/>
        </w:rPr>
      </w:pPr>
    </w:p>
    <w:p>
      <w:pPr>
        <w:keepNext/>
        <w:keepLines/>
        <w:widowControl/>
        <w:spacing w:line="480" w:lineRule="exact"/>
        <w:outlineLvl w:val="1"/>
        <w:rPr>
          <w:rFonts w:ascii="宋体" w:hAnsi="宋体" w:cs="宋体"/>
          <w:b/>
          <w:color w:val="auto"/>
          <w:szCs w:val="21"/>
          <w:highlight w:val="none"/>
        </w:rPr>
      </w:pPr>
      <w:bookmarkStart w:id="117" w:name="_Hlt503877221"/>
      <w:bookmarkEnd w:id="117"/>
      <w:bookmarkStart w:id="118" w:name="_Toc480171922"/>
      <w:bookmarkStart w:id="119" w:name="_Toc35233732"/>
      <w:bookmarkStart w:id="120" w:name="_Toc99635351"/>
    </w:p>
    <w:p>
      <w:pPr>
        <w:keepNext/>
        <w:keepLines/>
        <w:widowControl/>
        <w:spacing w:line="480" w:lineRule="exact"/>
        <w:outlineLvl w:val="1"/>
        <w:rPr>
          <w:rFonts w:ascii="Cambria" w:hAnsi="宋体"/>
          <w:b/>
          <w:bCs/>
          <w:color w:val="auto"/>
          <w:szCs w:val="21"/>
          <w:highlight w:val="none"/>
        </w:rPr>
      </w:pPr>
      <w:r>
        <w:rPr>
          <w:rFonts w:hint="eastAsia" w:ascii="宋体" w:hAnsi="宋体" w:cs="宋体"/>
          <w:b/>
          <w:bCs/>
          <w:color w:val="auto"/>
          <w:szCs w:val="21"/>
          <w:highlight w:val="none"/>
        </w:rPr>
        <w:t>十二、相关证明</w:t>
      </w:r>
      <w:bookmarkEnd w:id="118"/>
      <w:bookmarkEnd w:id="119"/>
      <w:r>
        <w:rPr>
          <w:rFonts w:hint="eastAsia" w:ascii="宋体" w:hAnsi="宋体" w:cs="宋体"/>
          <w:b/>
          <w:bCs/>
          <w:color w:val="auto"/>
          <w:szCs w:val="21"/>
          <w:highlight w:val="none"/>
        </w:rPr>
        <w:t>文件</w:t>
      </w:r>
      <w:bookmarkEnd w:id="120"/>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1、</w:t>
      </w:r>
      <w:r>
        <w:rPr>
          <w:rFonts w:ascii="宋体" w:hAnsi="Courier New"/>
          <w:color w:val="auto"/>
          <w:szCs w:val="20"/>
          <w:highlight w:val="none"/>
        </w:rPr>
        <w:t>营业执照</w:t>
      </w:r>
      <w:r>
        <w:rPr>
          <w:rFonts w:ascii="宋体" w:hAnsi="宋体"/>
          <w:color w:val="auto"/>
          <w:szCs w:val="21"/>
          <w:highlight w:val="none"/>
        </w:rPr>
        <w:t>；（副本）</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2、提供2022年度或2023年度财务报告复印件或银行出具的资信证明材料复印件；</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3、提供2024年任意一个月的依法缴纳税收的证明（如纳税凭证）复印件，如依法免税的，应提供相应文件证明其依法免税；</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4、提供2024年任意一个月的依法缴纳社会保险的证明（如缴费凭证）复印件，如依法不需要缴纳社会保障资金的，应提供相应文件证明其依法不需要缴纳社会保障资金；</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5、具备履行合同所必需的设备和专业技术能力的证明材料（可自行声明）；</w:t>
      </w:r>
    </w:p>
    <w:p>
      <w:pPr>
        <w:spacing w:line="480" w:lineRule="exact"/>
        <w:ind w:firstLine="420" w:firstLineChars="200"/>
        <w:rPr>
          <w:rFonts w:ascii="Arial Unicode MS" w:hAnsi="宋体" w:eastAsia="Arial Unicode MS"/>
          <w:color w:val="auto"/>
          <w:kern w:val="0"/>
          <w:sz w:val="24"/>
          <w:szCs w:val="21"/>
          <w:highlight w:val="none"/>
        </w:rPr>
      </w:pPr>
      <w:r>
        <w:rPr>
          <w:rFonts w:ascii="宋体" w:hAnsi="宋体"/>
          <w:color w:val="auto"/>
          <w:szCs w:val="21"/>
          <w:highlight w:val="none"/>
        </w:rPr>
        <w:t>6、提供参加政府采购活动前3年内在经营活动中没有重大违法记录的书面声明（可自行声明）；</w:t>
      </w:r>
    </w:p>
    <w:p>
      <w:pPr>
        <w:spacing w:line="480" w:lineRule="exact"/>
        <w:ind w:firstLine="420" w:firstLineChars="200"/>
        <w:rPr>
          <w:rFonts w:ascii="Arial Unicode MS" w:hAnsi="Arial Unicode MS" w:eastAsia="Arial Unicode MS"/>
          <w:color w:val="auto"/>
          <w:kern w:val="0"/>
          <w:sz w:val="24"/>
          <w:highlight w:val="none"/>
        </w:rPr>
      </w:pPr>
      <w:r>
        <w:rPr>
          <w:rFonts w:hint="eastAsia" w:ascii="宋体" w:hAnsi="Courier New"/>
          <w:color w:val="auto"/>
          <w:szCs w:val="20"/>
          <w:highlight w:val="none"/>
          <w:lang w:val="en-US" w:eastAsia="zh-CN"/>
        </w:rPr>
        <w:t>7</w:t>
      </w:r>
      <w:r>
        <w:rPr>
          <w:rFonts w:ascii="宋体" w:hAnsi="Courier New"/>
          <w:color w:val="auto"/>
          <w:szCs w:val="20"/>
          <w:highlight w:val="none"/>
        </w:rPr>
        <w:t>、其它。</w:t>
      </w:r>
    </w:p>
    <w:p>
      <w:pPr>
        <w:rPr>
          <w:rFonts w:ascii="Calibri" w:hAnsi="Calibri"/>
          <w:color w:val="auto"/>
          <w:highlight w:val="none"/>
        </w:rPr>
      </w:pPr>
      <w:r>
        <w:rPr>
          <w:rFonts w:hint="eastAsia" w:ascii="宋体" w:hAnsi="宋体" w:cs="宋体"/>
          <w:b/>
          <w:color w:val="auto"/>
          <w:szCs w:val="21"/>
          <w:highlight w:val="none"/>
        </w:rPr>
        <w:t>注：供应商应当在响应文件中提供以上证书或文件的复印件（复印件加盖公章）。</w:t>
      </w:r>
    </w:p>
    <w:p>
      <w:pPr>
        <w:pStyle w:val="4"/>
        <w:spacing w:before="0" w:beforeAutospacing="0" w:after="0" w:afterAutospacing="0" w:line="500" w:lineRule="exact"/>
        <w:rPr>
          <w:rFonts w:ascii="仿宋_GB2312" w:hAnsi="仿宋_GB2312" w:eastAsia="仿宋_GB2312" w:cs="仿宋_GB2312"/>
          <w:color w:val="auto"/>
          <w:sz w:val="32"/>
          <w:szCs w:val="32"/>
          <w:highlight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方正仿宋_GBK" w:hAnsi="方正仿宋_GBK" w:eastAsia="方正仿宋_GBK" w:cs="方正仿宋_GBK"/>
          <w:i w:val="0"/>
          <w:caps w:val="0"/>
          <w:color w:val="auto"/>
          <w:spacing w:val="0"/>
          <w:sz w:val="28"/>
          <w:szCs w:val="28"/>
          <w:highlight w:val="none"/>
          <w:shd w:val="clear" w:fill="FFFFFF"/>
        </w:rPr>
      </w:pPr>
    </w:p>
    <w:p>
      <w:pPr>
        <w:rPr>
          <w:rFonts w:hint="eastAsia"/>
          <w:color w:val="auto"/>
          <w:sz w:val="28"/>
          <w:szCs w:val="28"/>
          <w:highlight w:val="none"/>
          <w:lang w:eastAsia="zh-CN"/>
        </w:rPr>
      </w:pPr>
    </w:p>
    <w:p>
      <w:pPr>
        <w:rPr>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4171F"/>
    <w:rsid w:val="220F37BC"/>
    <w:rsid w:val="395E6AD2"/>
    <w:rsid w:val="4B54171F"/>
    <w:rsid w:val="4E532BB1"/>
    <w:rsid w:val="53C336FE"/>
    <w:rsid w:val="75E9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2024-06-18T02:07:00Z</dcterms:created>
  <dc:creator>Administrator</dc:creator>
  <cp:lastModifiedBy>Administrator</cp:lastModifiedBy>
  <cp:lastPrinted>2024-06-18T08:35:34Z</cp:lastPrinted>
  <dcterms:modified xsi:type="dcterms:W3CDTF">2024-06-18T08:40:54Z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