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2024年恩平市入河排污口排查工作项目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评分表</w:t>
      </w:r>
      <w:bookmarkEnd w:id="0"/>
    </w:p>
    <w:tbl>
      <w:tblPr>
        <w:tblStyle w:val="8"/>
        <w:tblW w:w="9115" w:type="dxa"/>
        <w:tblInd w:w="-3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861"/>
        <w:gridCol w:w="62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895" w:type="dxa"/>
            <w:gridSpan w:val="2"/>
          </w:tcPr>
          <w:p>
            <w:pPr>
              <w:pStyle w:val="7"/>
              <w:spacing w:before="61" w:line="219" w:lineRule="auto"/>
              <w:ind w:left="718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评审内容</w:t>
            </w:r>
          </w:p>
        </w:tc>
        <w:tc>
          <w:tcPr>
            <w:tcW w:w="6220" w:type="dxa"/>
          </w:tcPr>
          <w:p>
            <w:pPr>
              <w:pStyle w:val="7"/>
              <w:spacing w:before="61" w:line="220" w:lineRule="auto"/>
              <w:ind w:left="2366"/>
              <w:rPr>
                <w:sz w:val="23"/>
                <w:szCs w:val="23"/>
              </w:rPr>
            </w:pPr>
            <w:r>
              <w:rPr>
                <w:b/>
                <w:bCs/>
                <w:spacing w:val="1"/>
                <w:sz w:val="23"/>
                <w:szCs w:val="23"/>
              </w:rPr>
              <w:t>评审准则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34" w:type="dxa"/>
            <w:vMerge w:val="restart"/>
            <w:vAlign w:val="center"/>
          </w:tcPr>
          <w:p>
            <w:pPr>
              <w:jc w:val="both"/>
              <w:rPr>
                <w:rFonts w:ascii="Arial"/>
              </w:rPr>
            </w:pPr>
          </w:p>
          <w:p>
            <w:pPr>
              <w:pStyle w:val="7"/>
              <w:jc w:val="center"/>
              <w:rPr>
                <w:spacing w:val="5"/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技术</w:t>
            </w:r>
          </w:p>
          <w:p>
            <w:pPr>
              <w:pStyle w:val="7"/>
              <w:jc w:val="center"/>
              <w:rPr>
                <w:rFonts w:ascii="Arial"/>
                <w:sz w:val="21"/>
              </w:rPr>
            </w:pPr>
            <w:r>
              <w:rPr>
                <w:spacing w:val="5"/>
                <w:sz w:val="23"/>
                <w:szCs w:val="23"/>
              </w:rPr>
              <w:t>评分(</w:t>
            </w:r>
            <w:r>
              <w:rPr>
                <w:rFonts w:hint="eastAsia"/>
                <w:spacing w:val="5"/>
                <w:sz w:val="23"/>
                <w:szCs w:val="23"/>
                <w:lang w:eastAsia="zh-CN"/>
              </w:rPr>
              <w:t>60  分</w:t>
            </w:r>
            <w:r>
              <w:rPr>
                <w:spacing w:val="5"/>
                <w:sz w:val="23"/>
                <w:szCs w:val="23"/>
              </w:rPr>
              <w:t xml:space="preserve"> )</w:t>
            </w:r>
          </w:p>
        </w:tc>
        <w:tc>
          <w:tcPr>
            <w:tcW w:w="1861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spacing w:line="310" w:lineRule="exact"/>
              <w:jc w:val="center"/>
              <w:rPr>
                <w:sz w:val="23"/>
                <w:szCs w:val="23"/>
              </w:rPr>
            </w:pPr>
            <w:r>
              <w:rPr>
                <w:spacing w:val="2"/>
                <w:position w:val="5"/>
                <w:sz w:val="23"/>
                <w:szCs w:val="23"/>
              </w:rPr>
              <w:t>项目理解</w:t>
            </w:r>
          </w:p>
          <w:p>
            <w:pPr>
              <w:pStyle w:val="7"/>
              <w:spacing w:line="220" w:lineRule="auto"/>
              <w:jc w:val="center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(</w:t>
            </w:r>
            <w:r>
              <w:rPr>
                <w:rFonts w:hint="eastAsia"/>
                <w:spacing w:val="10"/>
                <w:sz w:val="23"/>
                <w:szCs w:val="23"/>
                <w:lang w:eastAsia="zh-CN"/>
              </w:rPr>
              <w:t>20</w:t>
            </w:r>
            <w:r>
              <w:rPr>
                <w:spacing w:val="10"/>
                <w:sz w:val="23"/>
                <w:szCs w:val="23"/>
              </w:rPr>
              <w:t>分)</w:t>
            </w:r>
          </w:p>
        </w:tc>
        <w:tc>
          <w:tcPr>
            <w:tcW w:w="6220" w:type="dxa"/>
          </w:tcPr>
          <w:p>
            <w:pPr>
              <w:pStyle w:val="7"/>
              <w:ind w:left="105" w:leftChars="50"/>
              <w:rPr>
                <w:sz w:val="23"/>
                <w:szCs w:val="23"/>
                <w:lang w:eastAsia="zh-CN"/>
              </w:rPr>
            </w:pPr>
            <w:r>
              <w:rPr>
                <w:spacing w:val="-1"/>
                <w:sz w:val="23"/>
                <w:szCs w:val="23"/>
                <w:lang w:eastAsia="zh-CN"/>
              </w:rPr>
              <w:t>对项目背景、目的及要求的熟悉与理解情况进行评</w:t>
            </w:r>
            <w:r>
              <w:rPr>
                <w:spacing w:val="-11"/>
                <w:sz w:val="23"/>
                <w:szCs w:val="23"/>
                <w:lang w:eastAsia="zh-CN"/>
              </w:rPr>
              <w:t>审</w:t>
            </w:r>
            <w:r>
              <w:rPr>
                <w:spacing w:val="-47"/>
                <w:sz w:val="23"/>
                <w:szCs w:val="23"/>
                <w:lang w:eastAsia="zh-CN"/>
              </w:rPr>
              <w:t xml:space="preserve"> </w:t>
            </w:r>
            <w:r>
              <w:rPr>
                <w:spacing w:val="-11"/>
                <w:sz w:val="23"/>
                <w:szCs w:val="23"/>
                <w:lang w:eastAsia="zh-CN"/>
              </w:rPr>
              <w:t>：</w:t>
            </w:r>
          </w:p>
          <w:p>
            <w:pPr>
              <w:pStyle w:val="7"/>
              <w:ind w:left="105" w:leftChars="50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1.熟悉项目背景，对目的及要求理解透彻完整，阐述</w:t>
            </w:r>
            <w:r>
              <w:rPr>
                <w:spacing w:val="8"/>
                <w:sz w:val="23"/>
                <w:szCs w:val="23"/>
                <w:lang w:eastAsia="zh-CN"/>
              </w:rPr>
              <w:t>清晰具体，得1</w:t>
            </w:r>
            <w:r>
              <w:rPr>
                <w:rFonts w:hint="eastAsia"/>
                <w:spacing w:val="8"/>
                <w:sz w:val="23"/>
                <w:szCs w:val="23"/>
                <w:lang w:eastAsia="zh-CN"/>
              </w:rPr>
              <w:t>6</w:t>
            </w:r>
            <w:r>
              <w:rPr>
                <w:spacing w:val="8"/>
                <w:sz w:val="23"/>
                <w:szCs w:val="23"/>
                <w:lang w:eastAsia="zh-CN"/>
              </w:rPr>
              <w:t>-</w:t>
            </w:r>
            <w:r>
              <w:rPr>
                <w:rFonts w:hint="eastAsia"/>
                <w:spacing w:val="8"/>
                <w:sz w:val="23"/>
                <w:szCs w:val="23"/>
                <w:lang w:eastAsia="zh-CN"/>
              </w:rPr>
              <w:t>20</w:t>
            </w:r>
            <w:r>
              <w:rPr>
                <w:spacing w:val="8"/>
                <w:sz w:val="23"/>
                <w:szCs w:val="23"/>
                <w:lang w:eastAsia="zh-CN"/>
              </w:rPr>
              <w:t>分；</w:t>
            </w:r>
          </w:p>
          <w:p>
            <w:pPr>
              <w:pStyle w:val="7"/>
              <w:ind w:left="105" w:leftChars="50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2.较为熟悉项目背景，对项目目的及要求理解较为到</w:t>
            </w:r>
            <w:r>
              <w:rPr>
                <w:spacing w:val="6"/>
                <w:sz w:val="23"/>
                <w:szCs w:val="23"/>
                <w:lang w:eastAsia="zh-CN"/>
              </w:rPr>
              <w:t>位，阐述较为清晰具体，得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11</w:t>
            </w:r>
            <w:r>
              <w:rPr>
                <w:spacing w:val="6"/>
                <w:sz w:val="23"/>
                <w:szCs w:val="23"/>
                <w:lang w:eastAsia="zh-CN"/>
              </w:rPr>
              <w:t>-1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5</w:t>
            </w:r>
            <w:r>
              <w:rPr>
                <w:spacing w:val="6"/>
                <w:sz w:val="23"/>
                <w:szCs w:val="23"/>
                <w:lang w:eastAsia="zh-CN"/>
              </w:rPr>
              <w:t>分；</w:t>
            </w:r>
          </w:p>
          <w:p>
            <w:pPr>
              <w:pStyle w:val="7"/>
              <w:ind w:left="105" w:leftChars="50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3.基本熟悉项目背景，对项目目的及要求的理解较浅</w:t>
            </w:r>
            <w:r>
              <w:rPr>
                <w:spacing w:val="6"/>
                <w:sz w:val="23"/>
                <w:szCs w:val="23"/>
                <w:lang w:eastAsia="zh-CN"/>
              </w:rPr>
              <w:t>显，阐述不够清晰具体，</w:t>
            </w:r>
            <w:r>
              <w:rPr>
                <w:color w:val="auto"/>
                <w:spacing w:val="6"/>
                <w:sz w:val="23"/>
                <w:szCs w:val="23"/>
                <w:lang w:eastAsia="zh-CN"/>
              </w:rPr>
              <w:t>得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lang w:eastAsia="zh-CN"/>
              </w:rPr>
              <w:t>5</w:t>
            </w:r>
            <w:r>
              <w:rPr>
                <w:color w:val="auto"/>
                <w:spacing w:val="6"/>
                <w:sz w:val="23"/>
                <w:szCs w:val="23"/>
                <w:lang w:eastAsia="zh-CN"/>
              </w:rPr>
              <w:t>-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lang w:eastAsia="zh-CN"/>
              </w:rPr>
              <w:t>10</w:t>
            </w:r>
            <w:r>
              <w:rPr>
                <w:color w:val="auto"/>
                <w:spacing w:val="6"/>
                <w:sz w:val="23"/>
                <w:szCs w:val="23"/>
                <w:lang w:eastAsia="zh-CN"/>
              </w:rPr>
              <w:t>分；</w:t>
            </w:r>
          </w:p>
          <w:p>
            <w:pPr>
              <w:pStyle w:val="7"/>
              <w:ind w:left="105" w:leftChars="50"/>
              <w:rPr>
                <w:sz w:val="23"/>
                <w:szCs w:val="23"/>
                <w:lang w:eastAsia="zh-CN"/>
              </w:rPr>
            </w:pPr>
            <w:r>
              <w:rPr>
                <w:spacing w:val="-1"/>
                <w:sz w:val="23"/>
                <w:szCs w:val="23"/>
                <w:lang w:eastAsia="zh-CN"/>
              </w:rPr>
              <w:t>4.未提供相关表述不得分。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9" w:hRule="atLeast"/>
        </w:trPr>
        <w:tc>
          <w:tcPr>
            <w:tcW w:w="1034" w:type="dxa"/>
            <w:vMerge w:val="continue"/>
            <w:tcBorders/>
            <w:vAlign w:val="center"/>
          </w:tcPr>
          <w:p>
            <w:pPr>
              <w:pStyle w:val="7"/>
              <w:jc w:val="center"/>
              <w:rPr>
                <w:rFonts w:ascii="Arial"/>
                <w:sz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line="349" w:lineRule="exact"/>
              <w:jc w:val="center"/>
              <w:rPr>
                <w:sz w:val="23"/>
                <w:szCs w:val="23"/>
              </w:rPr>
            </w:pPr>
            <w:r>
              <w:rPr>
                <w:spacing w:val="2"/>
                <w:position w:val="8"/>
                <w:sz w:val="23"/>
                <w:szCs w:val="23"/>
              </w:rPr>
              <w:t>工作方案</w:t>
            </w:r>
          </w:p>
          <w:p>
            <w:pPr>
              <w:pStyle w:val="7"/>
              <w:spacing w:line="220" w:lineRule="auto"/>
              <w:jc w:val="center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(20分)</w:t>
            </w:r>
          </w:p>
        </w:tc>
        <w:tc>
          <w:tcPr>
            <w:tcW w:w="6220" w:type="dxa"/>
          </w:tcPr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对提供的工作方案科学合理性、内容完整性、操作性、进度安排等情况进行评审；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1.工作方案科学、合理，思路清晰，内容完整，重点突出，进度安排可行，操作性强，能很好地满足采购需求，得16-20分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；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2.工作方案较科学、合理，思路基本清晰，内容较完整，重点较突出，进度安排可行，可操作性较强，能较好地满足采购需求，得11-15分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；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3.工作方案基本科学、合理，思路基本清晰，内容完整但不够详尽，进度安排可行，可操作性一般，能基本满足采购需求，得6-10分：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4.工作方案科学性、合理性较差，思路较模糊，内容不完整，进度安排可行性较差，可操作性较差，无法满足采购需求，得1-5分。</w:t>
            </w:r>
          </w:p>
          <w:p>
            <w:pPr>
              <w:pStyle w:val="7"/>
              <w:ind w:left="105" w:leftChars="50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4.未提供方案不得分。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34" w:type="dxa"/>
            <w:vMerge w:val="continue"/>
            <w:tcBorders/>
            <w:vAlign w:val="center"/>
          </w:tcPr>
          <w:p>
            <w:pPr>
              <w:pStyle w:val="7"/>
              <w:jc w:val="center"/>
              <w:rPr>
                <w:spacing w:val="5"/>
                <w:sz w:val="23"/>
                <w:szCs w:val="23"/>
              </w:rPr>
            </w:pPr>
          </w:p>
        </w:tc>
        <w:tc>
          <w:tcPr>
            <w:tcW w:w="1861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ind w:left="105" w:leftChars="50"/>
              <w:jc w:val="center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项目进度计划和保障措施（10分）</w:t>
            </w:r>
          </w:p>
        </w:tc>
        <w:tc>
          <w:tcPr>
            <w:tcW w:w="6220" w:type="dxa"/>
            <w:vAlign w:val="center"/>
          </w:tcPr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对提供的工作进度计划和进度保障措施的科学合理性、明确性进行评审：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1.方案全面、科学合理，针对性和可操作性强，得10分；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 xml:space="preserve">2.方案较全面 ，针对性和可操作性较强，得7分； 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3.方案基本完整，针对性和可操作性一般，得4分；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4.未提供工作进度计划和进度保障措施不得分。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atLeast"/>
        </w:trPr>
        <w:tc>
          <w:tcPr>
            <w:tcW w:w="1034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861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ind w:left="105" w:leftChars="50"/>
              <w:jc w:val="center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服务保障措施及承诺</w:t>
            </w:r>
          </w:p>
          <w:p>
            <w:pPr>
              <w:pStyle w:val="7"/>
              <w:ind w:left="105" w:leftChars="50"/>
              <w:jc w:val="center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（10分）</w:t>
            </w:r>
          </w:p>
        </w:tc>
        <w:tc>
          <w:tcPr>
            <w:tcW w:w="6220" w:type="dxa"/>
            <w:vAlign w:val="center"/>
          </w:tcPr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对服务保障措施及承诺的科学合理性、明确性进行评审：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1.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项目服务保障措施科学合理，服务承诺清晰明确，得10分；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2.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项目服务保障措施基本合理可行，服务承诺比较清晰明确，得7分；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3.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项目服务保障措施不合理不可行，服务承诺不明确，得4分；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4.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未提供服务保障措施及承诺不得分。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</w:trPr>
        <w:tc>
          <w:tcPr>
            <w:tcW w:w="103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spacing w:val="5"/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商务</w:t>
            </w:r>
          </w:p>
          <w:p>
            <w:pPr>
              <w:pStyle w:val="7"/>
              <w:jc w:val="center"/>
              <w:rPr>
                <w:spacing w:val="5"/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评分</w:t>
            </w:r>
          </w:p>
          <w:p>
            <w:pPr>
              <w:pStyle w:val="7"/>
              <w:jc w:val="center"/>
              <w:rPr>
                <w:spacing w:val="5"/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(</w:t>
            </w:r>
            <w:r>
              <w:rPr>
                <w:rFonts w:hint="eastAsia"/>
                <w:spacing w:val="5"/>
                <w:sz w:val="23"/>
                <w:szCs w:val="23"/>
                <w:lang w:eastAsia="zh-CN"/>
              </w:rPr>
              <w:t>3</w:t>
            </w:r>
            <w:r>
              <w:rPr>
                <w:spacing w:val="5"/>
                <w:sz w:val="23"/>
                <w:szCs w:val="23"/>
              </w:rPr>
              <w:t>0</w:t>
            </w:r>
          </w:p>
          <w:p>
            <w:pPr>
              <w:jc w:val="center"/>
              <w:rPr>
                <w:spacing w:val="-7"/>
                <w:sz w:val="24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分)</w:t>
            </w:r>
          </w:p>
        </w:tc>
        <w:tc>
          <w:tcPr>
            <w:tcW w:w="18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服务团队人员配置情况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（10分）</w:t>
            </w:r>
          </w:p>
        </w:tc>
        <w:tc>
          <w:tcPr>
            <w:tcW w:w="6220" w:type="dxa"/>
            <w:vAlign w:val="center"/>
          </w:tcPr>
          <w:p>
            <w:pPr>
              <w:pStyle w:val="7"/>
              <w:ind w:left="105" w:leftChars="50"/>
              <w:rPr>
                <w:color w:val="auto"/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color w:val="auto"/>
                <w:spacing w:val="6"/>
                <w:sz w:val="23"/>
                <w:szCs w:val="23"/>
                <w:highlight w:val="none"/>
                <w:lang w:eastAsia="zh-CN"/>
              </w:rPr>
              <w:t>1.项目负责人具有生态环境相关专业职称的，得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highlight w:val="none"/>
                <w:lang w:eastAsia="zh-CN"/>
              </w:rPr>
              <w:t>分；具有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highlight w:val="none"/>
                <w:lang w:val="en-US" w:eastAsia="zh-CN"/>
              </w:rPr>
              <w:t>其他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highlight w:val="none"/>
                <w:lang w:eastAsia="zh-CN"/>
              </w:rPr>
              <w:t>生态环境相关专业的，得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highlight w:val="none"/>
                <w:lang w:eastAsia="zh-CN"/>
              </w:rPr>
              <w:t>分；其他不得分。此项最高得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highlight w:val="none"/>
                <w:lang w:eastAsia="zh-CN"/>
              </w:rPr>
              <w:t>分。</w:t>
            </w:r>
          </w:p>
          <w:p>
            <w:pPr>
              <w:pStyle w:val="7"/>
              <w:ind w:left="105" w:leftChars="50"/>
              <w:rPr>
                <w:color w:val="auto"/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color w:val="auto"/>
                <w:spacing w:val="6"/>
                <w:sz w:val="23"/>
                <w:szCs w:val="23"/>
                <w:lang w:eastAsia="zh-CN"/>
              </w:rPr>
              <w:t>2.项目团队技术人员情况（不含项目负责人）</w:t>
            </w:r>
          </w:p>
          <w:p>
            <w:pPr>
              <w:pStyle w:val="7"/>
              <w:ind w:left="105" w:leftChars="50"/>
              <w:rPr>
                <w:color w:val="auto"/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color w:val="auto"/>
                <w:spacing w:val="6"/>
                <w:sz w:val="23"/>
                <w:szCs w:val="23"/>
                <w:lang w:eastAsia="zh-CN"/>
              </w:rPr>
              <w:t>具有生态环境相关专业职称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lang w:val="en-US" w:eastAsia="zh-CN"/>
              </w:rPr>
              <w:t>/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lang w:eastAsia="zh-CN"/>
              </w:rPr>
              <w:t>相关专业的技术人员，每人得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lang w:val="en-US" w:eastAsia="zh-CN"/>
              </w:rPr>
              <w:t>1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lang w:eastAsia="zh-CN"/>
              </w:rPr>
              <w:t>分，此小项最高得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lang w:val="en-US" w:eastAsia="zh-CN"/>
              </w:rPr>
              <w:t>5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lang w:eastAsia="zh-CN"/>
              </w:rPr>
              <w:t>分；</w:t>
            </w:r>
          </w:p>
          <w:p>
            <w:pPr>
              <w:pStyle w:val="7"/>
              <w:ind w:left="105" w:leftChars="50"/>
              <w:rPr>
                <w:color w:val="auto"/>
                <w:spacing w:val="6"/>
                <w:sz w:val="23"/>
                <w:szCs w:val="23"/>
                <w:lang w:eastAsia="zh-CN"/>
              </w:rPr>
            </w:pPr>
            <w:r>
              <w:rPr>
                <w:color w:val="auto"/>
                <w:spacing w:val="6"/>
                <w:sz w:val="23"/>
                <w:szCs w:val="23"/>
                <w:lang w:eastAsia="zh-CN"/>
              </w:rPr>
              <w:t>注：须提供相关职称证书复印件加盖投标人公章，以及投标截止之日前三个月</w:t>
            </w:r>
            <w:r>
              <w:rPr>
                <w:rFonts w:hint="eastAsia"/>
                <w:color w:val="auto"/>
                <w:spacing w:val="6"/>
                <w:sz w:val="23"/>
                <w:szCs w:val="23"/>
                <w:lang w:eastAsia="zh-CN"/>
              </w:rPr>
              <w:t>内连续两个月</w:t>
            </w:r>
            <w:r>
              <w:rPr>
                <w:color w:val="auto"/>
                <w:spacing w:val="6"/>
                <w:sz w:val="23"/>
                <w:szCs w:val="23"/>
                <w:lang w:eastAsia="zh-CN"/>
              </w:rPr>
              <w:t>在本单位购买的社保证明复印件，否则不得分。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1034" w:type="dxa"/>
            <w:vMerge w:val="continue"/>
            <w:tcBorders/>
            <w:vAlign w:val="center"/>
          </w:tcPr>
          <w:p>
            <w:pPr>
              <w:jc w:val="center"/>
              <w:rPr>
                <w:spacing w:val="-7"/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49" w:lineRule="exact"/>
              <w:jc w:val="center"/>
              <w:rPr>
                <w:spacing w:val="2"/>
                <w:position w:val="8"/>
                <w:sz w:val="23"/>
                <w:szCs w:val="23"/>
              </w:rPr>
            </w:pPr>
            <w:r>
              <w:rPr>
                <w:spacing w:val="2"/>
                <w:position w:val="8"/>
                <w:sz w:val="23"/>
                <w:szCs w:val="23"/>
              </w:rPr>
              <w:t>同类项目业绩</w:t>
            </w:r>
          </w:p>
          <w:p>
            <w:pPr>
              <w:pStyle w:val="7"/>
              <w:spacing w:line="349" w:lineRule="exact"/>
              <w:jc w:val="center"/>
              <w:rPr>
                <w:spacing w:val="10"/>
                <w:sz w:val="24"/>
                <w:szCs w:val="24"/>
              </w:rPr>
            </w:pPr>
            <w:r>
              <w:rPr>
                <w:spacing w:val="2"/>
                <w:position w:val="8"/>
                <w:sz w:val="23"/>
                <w:szCs w:val="23"/>
              </w:rPr>
              <w:t xml:space="preserve"> (</w:t>
            </w:r>
            <w:r>
              <w:rPr>
                <w:rFonts w:hint="eastAsia"/>
                <w:spacing w:val="2"/>
                <w:position w:val="8"/>
                <w:sz w:val="23"/>
                <w:szCs w:val="23"/>
                <w:lang w:val="en-US" w:eastAsia="zh-CN"/>
              </w:rPr>
              <w:t>4</w:t>
            </w:r>
            <w:r>
              <w:rPr>
                <w:spacing w:val="2"/>
                <w:position w:val="8"/>
                <w:sz w:val="23"/>
                <w:szCs w:val="23"/>
              </w:rPr>
              <w:t>分)</w:t>
            </w:r>
          </w:p>
        </w:tc>
        <w:tc>
          <w:tcPr>
            <w:tcW w:w="6220" w:type="dxa"/>
          </w:tcPr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投标人自2020年1月1日以来承担过同类项目入河或入海排污口排查项目的，每提供1项得2分，本小项最高得</w:t>
            </w:r>
            <w:r>
              <w:rPr>
                <w:rFonts w:hint="eastAsia"/>
                <w:spacing w:val="6"/>
                <w:sz w:val="23"/>
                <w:szCs w:val="23"/>
                <w:lang w:val="en-US" w:eastAsia="zh-CN"/>
              </w:rPr>
              <w:t>4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分。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注：提供项目合同复印件（加盖投标人公章，否则不得分，同一个合同具有上述多项内容的不重复计分，只按最高得分计一次）。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1034" w:type="dxa"/>
            <w:vMerge w:val="continue"/>
            <w:tcBorders/>
            <w:vAlign w:val="center"/>
          </w:tcPr>
          <w:p>
            <w:pPr>
              <w:jc w:val="center"/>
              <w:rPr>
                <w:spacing w:val="-7"/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49" w:lineRule="exact"/>
              <w:jc w:val="center"/>
              <w:rPr>
                <w:spacing w:val="10"/>
                <w:sz w:val="24"/>
                <w:szCs w:val="24"/>
              </w:rPr>
            </w:pPr>
            <w:r>
              <w:rPr>
                <w:spacing w:val="2"/>
                <w:position w:val="8"/>
                <w:sz w:val="23"/>
                <w:szCs w:val="23"/>
              </w:rPr>
              <w:t>应急服务响应 (</w:t>
            </w:r>
            <w:r>
              <w:rPr>
                <w:rFonts w:hint="eastAsia"/>
                <w:spacing w:val="2"/>
                <w:position w:val="8"/>
                <w:sz w:val="23"/>
                <w:szCs w:val="23"/>
                <w:lang w:val="en-US" w:eastAsia="zh-CN"/>
              </w:rPr>
              <w:t>10</w:t>
            </w:r>
            <w:r>
              <w:rPr>
                <w:spacing w:val="2"/>
                <w:position w:val="8"/>
                <w:sz w:val="23"/>
                <w:szCs w:val="23"/>
              </w:rPr>
              <w:t>分)</w:t>
            </w:r>
          </w:p>
        </w:tc>
        <w:tc>
          <w:tcPr>
            <w:tcW w:w="6220" w:type="dxa"/>
          </w:tcPr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采购人有应急服务通知中标单位时，中标单位须承诺在接到采购人通知后到达采购人指定地点的时间：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1.承诺在40分钟（含）内到达，得</w:t>
            </w:r>
            <w:r>
              <w:rPr>
                <w:rFonts w:hint="eastAsia"/>
                <w:spacing w:val="6"/>
                <w:sz w:val="23"/>
                <w:szCs w:val="23"/>
                <w:lang w:val="en-US" w:eastAsia="zh-CN"/>
              </w:rPr>
              <w:t>10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2.承诺在40分钟（不含）至90分钟（含）内到达，得</w:t>
            </w:r>
            <w:r>
              <w:rPr>
                <w:rFonts w:hint="eastAsia"/>
                <w:spacing w:val="6"/>
                <w:sz w:val="23"/>
                <w:szCs w:val="23"/>
                <w:lang w:val="en-US" w:eastAsia="zh-CN"/>
              </w:rPr>
              <w:t>5</w:t>
            </w: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分；</w:t>
            </w:r>
          </w:p>
          <w:p>
            <w:pPr>
              <w:pStyle w:val="7"/>
              <w:ind w:left="105" w:leftChars="50"/>
              <w:rPr>
                <w:spacing w:val="6"/>
                <w:sz w:val="23"/>
                <w:szCs w:val="23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3.承诺到达时间大于90分钟，或未承诺到达时间，不得分。（须提供承诺函、百度地图截图，且承诺内容需经评标委员会认定符合常理，无相关承诺不得分。)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</w:trPr>
        <w:tc>
          <w:tcPr>
            <w:tcW w:w="1034" w:type="dxa"/>
            <w:vMerge w:val="continue"/>
            <w:tcBorders/>
            <w:vAlign w:val="center"/>
          </w:tcPr>
          <w:p>
            <w:pPr>
              <w:jc w:val="center"/>
              <w:rPr>
                <w:spacing w:val="-7"/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2"/>
                <w:position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position w:val="8"/>
                <w:sz w:val="23"/>
                <w:szCs w:val="23"/>
              </w:rPr>
              <w:t>管理制度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pacing w:val="2"/>
                <w:position w:val="8"/>
                <w:sz w:val="23"/>
                <w:szCs w:val="23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2"/>
                <w:position w:val="8"/>
                <w:sz w:val="23"/>
                <w:szCs w:val="23"/>
              </w:rPr>
              <w:t>（6分）</w:t>
            </w:r>
          </w:p>
          <w:p>
            <w:pPr>
              <w:pStyle w:val="7"/>
              <w:spacing w:line="349" w:lineRule="exact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6220" w:type="dxa"/>
          </w:tcPr>
          <w:p>
            <w:pPr>
              <w:widowControl/>
              <w:ind w:left="105" w:leftChars="50"/>
              <w:jc w:val="left"/>
              <w:rPr>
                <w:rFonts w:ascii="宋体" w:hAnsi="宋体" w:eastAsia="宋体" w:cs="宋体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</w:rPr>
              <w:t>根据各供应商具备完善的自身内部管理架构、运行管理制度、档案管理报送制度、项目操作流程管理制度、财务管理制度、自查评估制度情况进行评价：</w:t>
            </w:r>
          </w:p>
          <w:p>
            <w:pPr>
              <w:widowControl/>
              <w:ind w:left="105" w:leftChars="50"/>
              <w:jc w:val="left"/>
              <w:rPr>
                <w:rFonts w:ascii="宋体" w:hAnsi="宋体" w:eastAsia="宋体" w:cs="宋体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</w:rPr>
              <w:t>管理制度完善，有利于项目执行的得6分；管理制度尚可，对本项目实施会有一定帮助的得4分；管理制度针对性较低，对项目实施影响不大的得2分；无相关制度的或没有提供资料的不得分。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2895" w:type="dxa"/>
            <w:gridSpan w:val="2"/>
            <w:vAlign w:val="center"/>
          </w:tcPr>
          <w:p>
            <w:pPr>
              <w:pStyle w:val="7"/>
              <w:spacing w:line="349" w:lineRule="exact"/>
              <w:jc w:val="center"/>
              <w:rPr>
                <w:spacing w:val="10"/>
                <w:sz w:val="24"/>
                <w:szCs w:val="24"/>
              </w:rPr>
            </w:pPr>
            <w:r>
              <w:rPr>
                <w:spacing w:val="5"/>
                <w:sz w:val="23"/>
                <w:szCs w:val="23"/>
              </w:rPr>
              <w:t>价格评分(10分)</w:t>
            </w:r>
          </w:p>
        </w:tc>
        <w:tc>
          <w:tcPr>
            <w:tcW w:w="6220" w:type="dxa"/>
          </w:tcPr>
          <w:p>
            <w:pPr>
              <w:pStyle w:val="7"/>
              <w:ind w:left="105" w:leftChars="50"/>
              <w:rPr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6"/>
                <w:sz w:val="23"/>
                <w:szCs w:val="23"/>
                <w:lang w:eastAsia="zh-CN"/>
              </w:rPr>
              <w:t>满足招标文件要求且价格最低的投标价为基准价，其价格分为满分。其他投标人的价格分统一按照下列公式计算：价格分=(基准价/投标报价)×价格权值×100</w:t>
            </w: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IzZjFjZWM2YTUwNTllNDY1MjkxZWM4YzY1ODIifQ=="/>
  </w:docVars>
  <w:rsids>
    <w:rsidRoot w:val="35892141"/>
    <w:rsid w:val="00481355"/>
    <w:rsid w:val="007D7C46"/>
    <w:rsid w:val="00965FA5"/>
    <w:rsid w:val="1E207D37"/>
    <w:rsid w:val="244C3A3D"/>
    <w:rsid w:val="35892141"/>
    <w:rsid w:val="38DB28A5"/>
    <w:rsid w:val="4FE51048"/>
    <w:rsid w:val="56105181"/>
    <w:rsid w:val="6FE0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1531</Words>
  <Characters>1619</Characters>
  <Lines>12</Lines>
  <Paragraphs>3</Paragraphs>
  <TotalTime>1</TotalTime>
  <ScaleCrop>false</ScaleCrop>
  <LinksUpToDate>false</LinksUpToDate>
  <CharactersWithSpaces>1631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2024-05-20T07:22:00Z</dcterms:created>
  <dc:creator>ヾ銘⌒ァ風ㄗ</dc:creator>
  <cp:lastModifiedBy>Administrator</cp:lastModifiedBy>
  <cp:lastPrinted>2024-06-14T01:51:00Z</cp:lastPrinted>
  <dcterms:modified xsi:type="dcterms:W3CDTF">2024-06-14T07:41:57Z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ED9B452C81C64B0FB57D6F1139E0DE46_13</vt:lpwstr>
  </property>
</Properties>
</file>