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bookmarkStart w:id="0" w:name="_GoBack"/>
      <w:bookmarkEnd w:id="0"/>
      <w:r>
        <w:rPr>
          <w:rFonts w:hint="eastAsia" w:ascii="宋体" w:hAnsi="宋体" w:eastAsia="宋体" w:cs="宋体"/>
          <w:b/>
          <w:bCs/>
          <w:color w:val="auto"/>
          <w:kern w:val="2"/>
          <w:sz w:val="32"/>
          <w:szCs w:val="32"/>
          <w:lang w:val="en-US" w:eastAsia="zh-CN" w:bidi="zh-CN"/>
        </w:rPr>
        <w:t xml:space="preserve"> 评分表</w:t>
      </w:r>
    </w:p>
    <w:tbl>
      <w:tblPr>
        <w:tblStyle w:val="11"/>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得分</w:t>
            </w:r>
          </w:p>
          <w:p>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（分）</w:t>
            </w: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权重</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一、技术部分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rPr>
              <w:t>60</w:t>
            </w:r>
            <w:r>
              <w:rPr>
                <w:rFonts w:ascii="仿宋" w:hAnsi="仿宋" w:eastAsia="仿宋" w:cs="Arial Unicode MS"/>
                <w:b/>
                <w:color w:val="auto"/>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，得6分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，得4分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，得2分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1、</w:t>
            </w:r>
            <w:r>
              <w:rPr>
                <w:rFonts w:hint="eastAsia" w:ascii="仿宋" w:hAnsi="仿宋" w:eastAsia="仿宋" w:cs="Arial Unicode MS"/>
                <w:bCs/>
                <w:color w:val="auto"/>
                <w:sz w:val="24"/>
                <w:szCs w:val="24"/>
              </w:rPr>
              <w:t>对本项目重点和难点的阐述；</w:t>
            </w:r>
          </w:p>
          <w:p>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2、</w:t>
            </w:r>
            <w:r>
              <w:rPr>
                <w:rFonts w:hint="eastAsia" w:ascii="仿宋" w:hAnsi="仿宋" w:eastAsia="仿宋" w:cs="Arial Unicode MS"/>
                <w:bCs/>
                <w:color w:val="auto"/>
                <w:sz w:val="24"/>
                <w:szCs w:val="24"/>
              </w:rPr>
              <w:t>对本项目重点和难点的监控措施；</w:t>
            </w:r>
          </w:p>
          <w:p>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3、</w:t>
            </w:r>
            <w:r>
              <w:rPr>
                <w:rFonts w:hint="eastAsia" w:ascii="仿宋" w:hAnsi="仿宋" w:eastAsia="仿宋" w:cs="Arial Unicode MS"/>
                <w:bCs/>
                <w:color w:val="auto"/>
                <w:sz w:val="24"/>
                <w:szCs w:val="24"/>
              </w:rPr>
              <w:t>对本项目重点和难点的建议方案；</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对本项目的重点、难点有充分的认识，措施具体，针对性强，相关建议可行性高，得6分；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对本项目的重点、难点有一定的认识，措施具体，针对性较强，相关建议可行性较高，得4分；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对本项目的重点、难点有一定的认识，措施具有一定的清晰度但不具体，具有一定的针对性，相关建议有一定可行性，得2分；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对本项目的重点、难点有相关的认识但不清晰，措施不清晰，不具针对性，相关建议可行性较低，得1分；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r>
              <w:rPr>
                <w:rFonts w:hint="eastAsia" w:ascii="仿宋" w:hAnsi="仿宋" w:eastAsia="仿宋" w:cs="Arial Unicode MS"/>
                <w:bCs/>
                <w:color w:val="auto"/>
                <w:kern w:val="0"/>
                <w:sz w:val="24"/>
                <w:szCs w:val="24"/>
              </w:rPr>
              <w:t>（三）</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5分</w:t>
            </w:r>
            <w:r>
              <w:rPr>
                <w:rFonts w:hint="eastAsia" w:ascii="仿宋" w:hAnsi="仿宋" w:eastAsia="仿宋" w:cs="Arial Unicode MS"/>
                <w:bC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，得5分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，得3分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一般，得2分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针对本项目有提供完善到位的质量保证和质量控制措施，按照相关规范、标准制定质量控制方案及质量检测方案，方案完全满足本项目要求的，得6分；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针对本项目有提供较完善到位的质量保证和质量控制措施，按照相关规范、标准制定质量控制方案及质量检测方案，方案较能满足本项目要求的，得4分；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针对本项目提供的质量保证和质量控制措施不够完善，有按照相关规范、标准制定质量控制方案及质量检测方案，方案基本能满足本项目要求的，得2分；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rPr>
              <w:t>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（五）</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保密措施具体、详细，可行性高，得3分；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保密措施较具体、详细，可行性较高，得2分；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保密措施不够具体，有一定可行性，得1分；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83" w:hRule="atLeast"/>
        </w:trPr>
        <w:tc>
          <w:tcPr>
            <w:tcW w:w="463" w:type="pct"/>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（六）</w:t>
            </w:r>
          </w:p>
        </w:tc>
        <w:tc>
          <w:tcPr>
            <w:tcW w:w="580" w:type="pct"/>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34分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检测数目：供应商通过计量认证的环境类检测项目数≥</w:t>
            </w:r>
            <w:r>
              <w:rPr>
                <w:rFonts w:ascii="仿宋" w:hAnsi="仿宋" w:eastAsia="仿宋" w:cs="Arial Unicode MS"/>
                <w:color w:val="auto"/>
                <w:kern w:val="0"/>
                <w:sz w:val="24"/>
                <w:szCs w:val="24"/>
              </w:rPr>
              <w:t>1000项得</w:t>
            </w:r>
            <w:r>
              <w:rPr>
                <w:rFonts w:hint="eastAsia" w:ascii="仿宋" w:hAnsi="仿宋" w:eastAsia="仿宋" w:cs="Arial Unicode MS"/>
                <w:color w:val="auto"/>
                <w:kern w:val="0"/>
                <w:sz w:val="24"/>
                <w:szCs w:val="24"/>
              </w:rPr>
              <w:t>7</w:t>
            </w:r>
            <w:r>
              <w:rPr>
                <w:rFonts w:ascii="仿宋" w:hAnsi="仿宋" w:eastAsia="仿宋" w:cs="Arial Unicode MS"/>
                <w:color w:val="auto"/>
                <w:kern w:val="0"/>
                <w:sz w:val="24"/>
                <w:szCs w:val="24"/>
              </w:rPr>
              <w:t>分，500项≤检测项目数＜800项得</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分，300项≤检测项目数＜500项的得</w:t>
            </w:r>
            <w:r>
              <w:rPr>
                <w:rFonts w:hint="eastAsia" w:ascii="仿宋" w:hAnsi="仿宋" w:eastAsia="仿宋" w:cs="Arial Unicode MS"/>
                <w:color w:val="auto"/>
                <w:kern w:val="0"/>
                <w:sz w:val="24"/>
                <w:szCs w:val="24"/>
              </w:rPr>
              <w:t>2</w:t>
            </w:r>
            <w:r>
              <w:rPr>
                <w:rFonts w:ascii="仿宋" w:hAnsi="仿宋" w:eastAsia="仿宋" w:cs="Arial Unicode MS"/>
                <w:color w:val="auto"/>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检测项目：水和废水、废气的监测、重点行业挥发性有机废气和臭气企业的监测、重点企业重金属污染的监测、锅炉废气的监测、土壤和沉积物、</w:t>
            </w:r>
            <w:r>
              <w:rPr>
                <w:rFonts w:hint="eastAsia" w:ascii="仿宋" w:hAnsi="仿宋" w:eastAsia="仿宋" w:cs="Arial Unicode MS"/>
                <w:color w:val="auto"/>
                <w:kern w:val="0"/>
                <w:sz w:val="24"/>
                <w:szCs w:val="24"/>
                <w:lang w:eastAsia="zh-CN"/>
              </w:rPr>
              <w:t>噪声监测</w:t>
            </w:r>
            <w:r>
              <w:rPr>
                <w:rFonts w:hint="eastAsia" w:ascii="仿宋" w:hAnsi="仿宋" w:eastAsia="仿宋" w:cs="Arial Unicode MS"/>
                <w:color w:val="auto"/>
                <w:kern w:val="0"/>
                <w:sz w:val="24"/>
                <w:szCs w:val="24"/>
              </w:rPr>
              <w:t>、油气回收、</w:t>
            </w:r>
            <w:r>
              <w:rPr>
                <w:rFonts w:hint="eastAsia" w:ascii="仿宋" w:hAnsi="仿宋" w:eastAsia="仿宋" w:cs="Arial Unicode MS"/>
                <w:color w:val="auto"/>
                <w:kern w:val="0"/>
                <w:sz w:val="24"/>
                <w:szCs w:val="24"/>
                <w:lang w:eastAsia="zh-CN"/>
              </w:rPr>
              <w:t>机动车和非道路移动机械尾气监测、</w:t>
            </w:r>
            <w:r>
              <w:rPr>
                <w:rFonts w:hint="eastAsia" w:ascii="仿宋" w:hAnsi="仿宋" w:eastAsia="仿宋" w:cs="Arial Unicode MS"/>
                <w:color w:val="auto"/>
                <w:kern w:val="0"/>
                <w:sz w:val="24"/>
                <w:szCs w:val="24"/>
              </w:rPr>
              <w:t>固废和危废的监测。每个检测项目得1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1）气相色谱仪、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2）原子吸收分光光度计、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3）原子荧光分光光度计、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rPr>
              <w:t>全自动流动注射分析仪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5）气相色谱-质谱仪、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6）大气预浓缩系统及苏马罐、</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7）液相色谱仪、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8）</w:t>
            </w:r>
            <w:r>
              <w:rPr>
                <w:rFonts w:hint="eastAsia" w:ascii="仿宋" w:hAnsi="仿宋" w:eastAsia="仿宋" w:cs="Arial Unicode MS"/>
                <w:color w:val="auto"/>
                <w:kern w:val="0"/>
                <w:sz w:val="24"/>
                <w:szCs w:val="24"/>
              </w:rPr>
              <w:t>全自动固相萃取仪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9）电感耦合等离子体-质谱仪、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10）原子吸收分光光谱仪、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11）离子色谱仪、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12）紫外-可见分光光度计，以上每提供一类设备得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1）自动烟尘（气）测试仪、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2）烟气分析仪、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3）烟气采样器、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4）空气采样器、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5）噪声仪。五种设备齐全的且各一台的得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分，每多一台加0.5分。最多得</w:t>
            </w:r>
            <w:r>
              <w:rPr>
                <w:rFonts w:hint="eastAsia" w:ascii="仿宋" w:hAnsi="仿宋" w:eastAsia="仿宋" w:cs="Arial Unicode MS"/>
                <w:color w:val="auto"/>
                <w:kern w:val="0"/>
                <w:sz w:val="24"/>
                <w:szCs w:val="24"/>
              </w:rPr>
              <w:t>5</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七</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w:t>
            </w:r>
            <w:r>
              <w:rPr>
                <w:rFonts w:hint="eastAsia" w:ascii="仿宋" w:hAnsi="仿宋" w:eastAsia="仿宋" w:cs="Arial Unicode MS"/>
                <w:color w:val="auto"/>
                <w:kern w:val="0"/>
                <w:sz w:val="24"/>
                <w:szCs w:val="24"/>
                <w:lang w:val="en-US" w:eastAsia="zh-CN"/>
              </w:rPr>
              <w:t>2020年以来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八</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供应商综合实力</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供应商具有</w:t>
            </w:r>
            <w:r>
              <w:rPr>
                <w:rFonts w:ascii="仿宋" w:hAnsi="仿宋" w:eastAsia="仿宋" w:cs="Arial Unicode MS"/>
                <w:color w:val="auto"/>
                <w:kern w:val="0"/>
                <w:sz w:val="24"/>
                <w:szCs w:val="24"/>
              </w:rPr>
              <w:t>ISO9001、ISO14001、OHSAS18001管理体系认证证书的，有一个证书得2分（最高不超过6分）</w:t>
            </w:r>
            <w:r>
              <w:rPr>
                <w:rFonts w:hint="eastAsia" w:ascii="仿宋" w:hAnsi="仿宋" w:eastAsia="仿宋" w:cs="Arial Unicode MS"/>
                <w:color w:val="auto"/>
                <w:kern w:val="0"/>
                <w:sz w:val="24"/>
                <w:szCs w:val="24"/>
              </w:rPr>
              <w:t>。</w:t>
            </w:r>
          </w:p>
          <w:p>
            <w:pPr>
              <w:keepNext w:val="0"/>
              <w:keepLines w:val="0"/>
              <w:pageBreakBefore w:val="0"/>
              <w:kinsoku/>
              <w:wordWrap/>
              <w:overflowPunct/>
              <w:topLinePunct w:val="0"/>
              <w:bidi w:val="0"/>
              <w:spacing w:line="560" w:lineRule="exact"/>
              <w:textAlignment w:val="auto"/>
              <w:rPr>
                <w:rFonts w:ascii="仿宋" w:hAnsi="仿宋" w:eastAsia="仿宋" w:cs="Arial Unicode MS"/>
                <w:b/>
                <w:bCs/>
                <w:color w:val="auto"/>
              </w:rPr>
            </w:pPr>
            <w:r>
              <w:rPr>
                <w:rFonts w:hint="eastAsia" w:ascii="仿宋" w:hAnsi="仿宋" w:eastAsia="仿宋" w:cs="Arial Unicode MS"/>
                <w:b/>
                <w:bCs/>
                <w:color w:val="auto"/>
              </w:rPr>
              <w:t>注：以上须提供以上证明材料复印件，并加盖公章，不提供的不得分。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九</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rPr>
            </w:pPr>
            <w:r>
              <w:rPr>
                <w:rFonts w:hint="eastAsia" w:ascii="仿宋" w:hAnsi="仿宋" w:eastAsia="仿宋" w:cs="Arial Unicode MS"/>
                <w:color w:val="auto"/>
                <w:kern w:val="0"/>
                <w:sz w:val="24"/>
                <w:szCs w:val="24"/>
              </w:rPr>
              <w:t>响应情况</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供应商响应时间在一小时内，得10分；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供应商响应时间在一小时至两小时之间，得7分；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供应商响应时间在两小时至三小时之间，得4分；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其他不得分。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w:t>
            </w:r>
            <w:r>
              <w:rPr>
                <w:rFonts w:hint="eastAsia" w:ascii="仿宋" w:hAnsi="仿宋" w:eastAsia="仿宋" w:cs="Arial Unicode MS"/>
                <w:color w:val="auto"/>
                <w:kern w:val="0"/>
                <w:sz w:val="24"/>
                <w:szCs w:val="24"/>
                <w:lang w:eastAsia="zh-CN"/>
              </w:rPr>
              <w:t>台山</w:t>
            </w:r>
            <w:r>
              <w:rPr>
                <w:rFonts w:hint="eastAsia" w:ascii="仿宋" w:hAnsi="仿宋" w:eastAsia="仿宋" w:cs="Arial Unicode MS"/>
                <w:color w:val="auto"/>
                <w:kern w:val="0"/>
                <w:sz w:val="24"/>
                <w:szCs w:val="24"/>
                <w:lang w:val="en-US" w:eastAsia="zh-CN"/>
              </w:rPr>
              <w:t>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广东省</w:t>
            </w:r>
            <w:r>
              <w:rPr>
                <w:rFonts w:hint="eastAsia" w:ascii="仿宋" w:hAnsi="仿宋" w:eastAsia="仿宋" w:cs="Arial Unicode MS"/>
                <w:color w:val="auto"/>
                <w:kern w:val="0"/>
                <w:sz w:val="24"/>
                <w:szCs w:val="24"/>
              </w:rPr>
              <w:t>江门市</w:t>
            </w:r>
            <w:r>
              <w:rPr>
                <w:rFonts w:hint="eastAsia" w:ascii="仿宋" w:hAnsi="仿宋" w:eastAsia="仿宋" w:cs="Arial Unicode MS"/>
                <w:color w:val="auto"/>
                <w:kern w:val="0"/>
                <w:sz w:val="24"/>
                <w:szCs w:val="24"/>
                <w:lang w:val="en-US" w:eastAsia="zh-CN"/>
              </w:rPr>
              <w:t>台山市上朗路386号</w:t>
            </w:r>
            <w:r>
              <w:rPr>
                <w:rFonts w:hint="eastAsia" w:ascii="仿宋" w:hAnsi="仿宋" w:eastAsia="仿宋" w:cs="Arial Unicode MS"/>
                <w:color w:val="auto"/>
                <w:kern w:val="0"/>
                <w:sz w:val="24"/>
                <w:szCs w:val="24"/>
              </w:rPr>
              <w:t>）”为模拟采样点。供应商应使用网页版百度地图进行耗用时间查询（打开网页版百度地图-点击地图左上角搜索栏的箭头符号-选择“驾车”-</w:t>
            </w:r>
            <w:r>
              <w:rPr>
                <w:rFonts w:hint="eastAsia" w:ascii="仿宋" w:hAnsi="仿宋" w:eastAsia="仿宋" w:cs="Arial Unicode MS"/>
                <w:color w:val="auto"/>
                <w:kern w:val="0"/>
                <w:sz w:val="24"/>
                <w:szCs w:val="24"/>
                <w:lang w:val="en-US" w:eastAsia="zh-CN"/>
              </w:rPr>
              <w:t>终点</w:t>
            </w:r>
            <w:r>
              <w:rPr>
                <w:rFonts w:hint="eastAsia" w:ascii="仿宋" w:hAnsi="仿宋" w:eastAsia="仿宋" w:cs="Arial Unicode MS"/>
                <w:color w:val="auto"/>
                <w:kern w:val="0"/>
                <w:sz w:val="24"/>
                <w:szCs w:val="24"/>
              </w:rPr>
              <w:t>处填“江门市生态环境局</w:t>
            </w:r>
            <w:r>
              <w:rPr>
                <w:rFonts w:hint="eastAsia" w:ascii="仿宋" w:hAnsi="仿宋" w:eastAsia="仿宋" w:cs="Arial Unicode MS"/>
                <w:color w:val="auto"/>
                <w:kern w:val="0"/>
                <w:sz w:val="24"/>
                <w:szCs w:val="24"/>
                <w:lang w:val="en-US" w:eastAsia="zh-CN"/>
              </w:rPr>
              <w:t>台山分局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val="en-US" w:eastAsia="zh-CN"/>
              </w:rPr>
              <w:t>起</w:t>
            </w:r>
            <w:r>
              <w:rPr>
                <w:rFonts w:hint="eastAsia" w:ascii="仿宋" w:hAnsi="仿宋" w:eastAsia="仿宋" w:cs="Arial Unicode MS"/>
                <w:color w:val="auto"/>
                <w:kern w:val="0"/>
                <w:sz w:val="24"/>
                <w:szCs w:val="24"/>
              </w:rPr>
              <w:t>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十</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项目组人员</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14分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ascii="仿宋" w:hAnsi="仿宋" w:eastAsia="仿宋" w:cs="Arial Unicode MS"/>
                <w:color w:val="auto"/>
                <w:kern w:val="0"/>
                <w:sz w:val="24"/>
                <w:szCs w:val="24"/>
                <w:lang w:bidi="ar"/>
              </w:rPr>
              <w:t>1</w:t>
            </w:r>
            <w:r>
              <w:rPr>
                <w:rFonts w:hint="eastAsia" w:ascii="仿宋" w:hAnsi="仿宋" w:eastAsia="仿宋" w:cs="Arial Unicode MS"/>
                <w:color w:val="auto"/>
                <w:kern w:val="0"/>
                <w:sz w:val="24"/>
                <w:szCs w:val="24"/>
                <w:lang w:bidi="ar"/>
              </w:rPr>
              <w:t>.</w:t>
            </w:r>
            <w:r>
              <w:rPr>
                <w:rFonts w:ascii="仿宋" w:hAnsi="仿宋" w:eastAsia="仿宋" w:cs="Arial Unicode MS"/>
                <w:color w:val="auto"/>
                <w:kern w:val="0"/>
                <w:sz w:val="24"/>
                <w:szCs w:val="24"/>
                <w:lang w:bidi="ar"/>
              </w:rPr>
              <w:t>项目负责人</w:t>
            </w:r>
            <w:r>
              <w:rPr>
                <w:rFonts w:hint="eastAsia" w:ascii="仿宋" w:hAnsi="仿宋" w:eastAsia="仿宋" w:cs="Arial Unicode MS"/>
                <w:color w:val="auto"/>
                <w:kern w:val="0"/>
                <w:sz w:val="24"/>
                <w:szCs w:val="24"/>
                <w:lang w:bidi="ar"/>
              </w:rPr>
              <w:t>：</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hint="eastAsia" w:ascii="仿宋" w:hAnsi="仿宋" w:eastAsia="仿宋" w:cs="Arial Unicode MS"/>
                <w:color w:val="auto"/>
                <w:kern w:val="0"/>
                <w:sz w:val="24"/>
                <w:szCs w:val="24"/>
                <w:lang w:bidi="ar"/>
              </w:rPr>
              <w:t>项目负责人为环境类高级工程师职称得</w:t>
            </w:r>
            <w:r>
              <w:rPr>
                <w:rFonts w:ascii="仿宋" w:hAnsi="仿宋" w:eastAsia="仿宋" w:cs="Arial Unicode MS"/>
                <w:color w:val="auto"/>
                <w:kern w:val="0"/>
                <w:sz w:val="24"/>
                <w:szCs w:val="24"/>
                <w:lang w:bidi="ar"/>
              </w:rPr>
              <w:t>5分；项目负责人为环境类中级职称得</w:t>
            </w:r>
            <w:r>
              <w:rPr>
                <w:rFonts w:hint="eastAsia" w:ascii="仿宋" w:hAnsi="仿宋" w:eastAsia="仿宋" w:cs="Arial Unicode MS"/>
                <w:color w:val="auto"/>
                <w:kern w:val="0"/>
                <w:sz w:val="24"/>
                <w:szCs w:val="24"/>
                <w:lang w:val="en-US" w:eastAsia="zh-CN" w:bidi="ar"/>
              </w:rPr>
              <w:t>3</w:t>
            </w:r>
            <w:r>
              <w:rPr>
                <w:rFonts w:ascii="仿宋" w:hAnsi="仿宋" w:eastAsia="仿宋" w:cs="Arial Unicode MS"/>
                <w:color w:val="auto"/>
                <w:kern w:val="0"/>
                <w:sz w:val="24"/>
                <w:szCs w:val="24"/>
                <w:lang w:bidi="ar"/>
              </w:rPr>
              <w:t>分（不重复算分，得分高者算分。</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b/>
                <w:bCs/>
                <w:color w:val="auto"/>
                <w:kern w:val="0"/>
                <w:sz w:val="24"/>
                <w:szCs w:val="24"/>
              </w:rPr>
            </w:pPr>
            <w:r>
              <w:rPr>
                <w:rFonts w:ascii="仿宋" w:hAnsi="仿宋" w:eastAsia="仿宋" w:cs="Arial Unicode MS"/>
                <w:b/>
                <w:bCs/>
                <w:color w:val="auto"/>
                <w:kern w:val="0"/>
                <w:sz w:val="24"/>
                <w:szCs w:val="24"/>
              </w:rPr>
              <w:t>注：提供项目负责人职称证书复印件</w:t>
            </w:r>
            <w:r>
              <w:rPr>
                <w:rFonts w:hint="eastAsia" w:ascii="仿宋" w:hAnsi="仿宋" w:eastAsia="仿宋" w:cs="Arial Unicode MS"/>
                <w:b/>
                <w:bCs/>
                <w:color w:val="auto"/>
                <w:kern w:val="0"/>
                <w:sz w:val="24"/>
                <w:szCs w:val="24"/>
              </w:rPr>
              <w:t>和开标前半年内</w:t>
            </w:r>
            <w:r>
              <w:rPr>
                <w:rFonts w:ascii="仿宋" w:hAnsi="仿宋" w:eastAsia="仿宋" w:cs="Arial Unicode MS"/>
                <w:b/>
                <w:bCs/>
                <w:color w:val="auto"/>
                <w:kern w:val="0"/>
                <w:sz w:val="24"/>
                <w:szCs w:val="24"/>
                <w:lang w:val="ru-RU"/>
              </w:rPr>
              <w:t>任意1个月供应商为其购买的社保证明材料复印件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lang w:bidi="ar"/>
              </w:rPr>
              <w:t>2</w:t>
            </w:r>
            <w:r>
              <w:rPr>
                <w:rFonts w:hint="eastAsia" w:ascii="仿宋" w:hAnsi="仿宋" w:eastAsia="仿宋" w:cs="Arial Unicode MS"/>
                <w:color w:val="auto"/>
                <w:kern w:val="0"/>
                <w:sz w:val="24"/>
                <w:szCs w:val="24"/>
                <w:lang w:bidi="ar"/>
              </w:rPr>
              <w:t>.</w:t>
            </w:r>
            <w:r>
              <w:rPr>
                <w:rFonts w:hint="eastAsia" w:ascii="仿宋" w:hAnsi="仿宋" w:eastAsia="仿宋" w:cs="Arial Unicode MS"/>
                <w:color w:val="auto"/>
                <w:kern w:val="0"/>
                <w:sz w:val="24"/>
                <w:szCs w:val="24"/>
              </w:rPr>
              <w:t>为本项目投入专业技术人员中，每一个环境相关中级职称以上人员得1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4</w:t>
            </w:r>
            <w:r>
              <w:rPr>
                <w:rFonts w:ascii="仿宋" w:hAnsi="仿宋" w:eastAsia="仿宋" w:cs="Arial Unicode MS"/>
                <w:color w:val="auto"/>
                <w:kern w:val="0"/>
                <w:sz w:val="24"/>
                <w:szCs w:val="24"/>
              </w:rPr>
              <w:t>分）；每一个具有第三方培训机构颁发的环境检测上岗合格证或培训证的专职检测人员得</w:t>
            </w:r>
            <w:r>
              <w:rPr>
                <w:rFonts w:hint="eastAsia" w:ascii="仿宋" w:hAnsi="仿宋" w:eastAsia="仿宋" w:cs="Arial Unicode MS"/>
                <w:color w:val="auto"/>
                <w:kern w:val="0"/>
                <w:sz w:val="24"/>
                <w:szCs w:val="24"/>
                <w:lang w:val="en-US" w:eastAsia="zh-CN"/>
              </w:rPr>
              <w:t>0.5</w:t>
            </w:r>
            <w:r>
              <w:rPr>
                <w:rFonts w:ascii="仿宋" w:hAnsi="仿宋" w:eastAsia="仿宋" w:cs="Arial Unicode MS"/>
                <w:color w:val="auto"/>
                <w:kern w:val="0"/>
                <w:sz w:val="24"/>
                <w:szCs w:val="24"/>
              </w:rPr>
              <w:t>分（最高不超过</w:t>
            </w:r>
            <w:r>
              <w:rPr>
                <w:rFonts w:hint="eastAsia" w:ascii="仿宋" w:hAnsi="仿宋" w:eastAsia="仿宋" w:cs="Arial Unicode MS"/>
                <w:color w:val="auto"/>
                <w:kern w:val="0"/>
                <w:sz w:val="24"/>
                <w:szCs w:val="24"/>
              </w:rPr>
              <w:t>3</w:t>
            </w:r>
            <w:r>
              <w:rPr>
                <w:rFonts w:ascii="仿宋" w:hAnsi="仿宋" w:eastAsia="仿宋" w:cs="Arial Unicode MS"/>
                <w:color w:val="auto"/>
                <w:kern w:val="0"/>
                <w:sz w:val="24"/>
                <w:szCs w:val="24"/>
              </w:rPr>
              <w:t>分）；每一个具有检测检验机构资质认定内审员资格人员得0.5分（最高得2分）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b/>
                <w:bCs/>
                <w:color w:val="auto"/>
                <w:kern w:val="0"/>
                <w:sz w:val="24"/>
                <w:szCs w:val="24"/>
                <w:lang w:val="ru-RU"/>
              </w:rPr>
              <w:t>注：提供</w:t>
            </w:r>
            <w:r>
              <w:rPr>
                <w:rFonts w:hint="eastAsia" w:ascii="仿宋" w:hAnsi="仿宋" w:eastAsia="仿宋" w:cs="Arial Unicode MS"/>
                <w:b/>
                <w:bCs/>
                <w:color w:val="auto"/>
                <w:kern w:val="0"/>
                <w:sz w:val="24"/>
                <w:szCs w:val="24"/>
                <w:lang w:val="ru-RU"/>
              </w:rPr>
              <w:t>上述</w:t>
            </w:r>
            <w:r>
              <w:rPr>
                <w:rFonts w:ascii="仿宋" w:hAnsi="仿宋" w:eastAsia="仿宋" w:cs="Arial Unicode MS"/>
                <w:b/>
                <w:bCs/>
                <w:color w:val="auto"/>
                <w:kern w:val="0"/>
                <w:sz w:val="24"/>
                <w:szCs w:val="24"/>
                <w:lang w:val="ru-RU"/>
              </w:rPr>
              <w:t>人员</w:t>
            </w:r>
            <w:r>
              <w:rPr>
                <w:rFonts w:hint="eastAsia" w:ascii="仿宋" w:hAnsi="仿宋" w:eastAsia="仿宋" w:cs="Arial Unicode MS"/>
                <w:b/>
                <w:bCs/>
                <w:color w:val="auto"/>
                <w:kern w:val="0"/>
                <w:sz w:val="24"/>
                <w:szCs w:val="24"/>
                <w:lang w:val="ru-RU"/>
              </w:rPr>
              <w:t>清单，证书复印件</w:t>
            </w:r>
            <w:r>
              <w:rPr>
                <w:rFonts w:ascii="仿宋" w:hAnsi="仿宋" w:eastAsia="仿宋" w:cs="Arial Unicode MS"/>
                <w:b/>
                <w:bCs/>
                <w:color w:val="auto"/>
                <w:kern w:val="0"/>
                <w:sz w:val="24"/>
                <w:szCs w:val="24"/>
                <w:lang w:val="ru-RU"/>
              </w:rPr>
              <w:t>及</w:t>
            </w:r>
            <w:r>
              <w:rPr>
                <w:rFonts w:hint="eastAsia" w:ascii="仿宋" w:hAnsi="仿宋" w:eastAsia="仿宋" w:cs="Arial Unicode MS"/>
                <w:b/>
                <w:bCs/>
                <w:color w:val="auto"/>
                <w:kern w:val="0"/>
                <w:sz w:val="24"/>
                <w:szCs w:val="24"/>
              </w:rPr>
              <w:t>开标前半年内</w:t>
            </w:r>
            <w:r>
              <w:rPr>
                <w:rFonts w:ascii="仿宋" w:hAnsi="仿宋" w:eastAsia="仿宋" w:cs="Arial Unicode MS"/>
                <w:b/>
                <w:bCs/>
                <w:color w:val="auto"/>
                <w:kern w:val="0"/>
                <w:sz w:val="24"/>
                <w:szCs w:val="24"/>
                <w:lang w:val="ru-RU"/>
              </w:rPr>
              <w:t>任意1个月供应商为上述人员购买的社保证明材料复印件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100%</w:t>
            </w:r>
          </w:p>
        </w:tc>
      </w:tr>
    </w:tbl>
    <w:p/>
    <w:p>
      <w:pPr>
        <w:rPr>
          <w:rFonts w:hint="eastAsia" w:eastAsiaTheme="minor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8EAF5"/>
    <w:multiLevelType w:val="singleLevel"/>
    <w:tmpl w:val="4FF8EAF5"/>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hjZTkyMzk4ODk3NGEyN2Q2MmVmM2FjODhjOTMifQ=="/>
  </w:docVars>
  <w:rsids>
    <w:rsidRoot w:val="05FB260C"/>
    <w:rsid w:val="05FB260C"/>
    <w:rsid w:val="0C3F702F"/>
    <w:rsid w:val="41B25224"/>
    <w:rsid w:val="486B629C"/>
    <w:rsid w:val="5CF6A3A0"/>
    <w:rsid w:val="5F28068D"/>
    <w:rsid w:val="6ECF3979"/>
    <w:rsid w:val="79F5EC41"/>
    <w:rsid w:val="7C7FAA01"/>
    <w:rsid w:val="97E97B8C"/>
    <w:rsid w:val="F5DB3F9E"/>
    <w:rsid w:val="FF6B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460" w:lineRule="exact"/>
      <w:ind w:firstLine="200"/>
    </w:pPr>
  </w:style>
  <w:style w:type="paragraph" w:customStyle="1" w:styleId="3">
    <w:name w:val="文章"/>
    <w:basedOn w:val="1"/>
    <w:next w:val="4"/>
    <w:qFormat/>
    <w:uiPriority w:val="0"/>
    <w:pPr>
      <w:widowControl/>
      <w:ind w:firstLine="480"/>
      <w:jc w:val="center"/>
    </w:pPr>
    <w:rPr>
      <w:sz w:val="26"/>
    </w:rPr>
  </w:style>
  <w:style w:type="paragraph" w:styleId="4">
    <w:name w:val="List"/>
    <w:basedOn w:val="1"/>
    <w:next w:val="5"/>
    <w:qFormat/>
    <w:uiPriority w:val="0"/>
    <w:pPr>
      <w:ind w:left="200" w:hanging="200" w:hangingChars="200"/>
    </w:pPr>
  </w:style>
  <w:style w:type="paragraph" w:styleId="5">
    <w:name w:val="List Bullet 2"/>
    <w:basedOn w:val="1"/>
    <w:next w:val="6"/>
    <w:qFormat/>
    <w:uiPriority w:val="0"/>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1"/>
    <w:next w:val="8"/>
    <w:qFormat/>
    <w:uiPriority w:val="0"/>
    <w:pPr>
      <w:ind w:firstLine="420"/>
    </w:pPr>
    <w:rPr>
      <w:rFonts w:ascii="宋体"/>
      <w:sz w:val="28"/>
    </w:rPr>
  </w:style>
  <w:style w:type="paragraph" w:customStyle="1" w:styleId="8">
    <w:name w:val="td1"/>
    <w:basedOn w:val="1"/>
    <w:next w:val="1"/>
    <w:qFormat/>
    <w:uiPriority w:val="0"/>
    <w:pPr>
      <w:widowControl/>
      <w:spacing w:before="280" w:after="280" w:line="300" w:lineRule="atLeast"/>
      <w:ind w:firstLine="200"/>
    </w:pPr>
    <w:rPr>
      <w:color w:val="000000"/>
      <w:sz w:val="18"/>
    </w:rPr>
  </w:style>
  <w:style w:type="paragraph" w:styleId="9">
    <w:name w:val="toc 2"/>
    <w:basedOn w:val="1"/>
    <w:next w:val="2"/>
    <w:qFormat/>
    <w:uiPriority w:val="0"/>
    <w:pPr>
      <w:spacing w:before="997"/>
      <w:ind w:left="104"/>
    </w:pPr>
    <w:rPr>
      <w:rFonts w:ascii="宋体"/>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样式35"/>
    <w:basedOn w:val="1"/>
    <w:next w:val="15"/>
    <w:qFormat/>
    <w:uiPriority w:val="0"/>
    <w:pPr>
      <w:spacing w:line="312" w:lineRule="auto"/>
      <w:ind w:firstLine="567"/>
    </w:pPr>
    <w:rPr>
      <w:rFonts w:ascii="宋体"/>
      <w:sz w:val="28"/>
    </w:rPr>
  </w:style>
  <w:style w:type="paragraph" w:customStyle="1" w:styleId="15">
    <w:name w:val="font6"/>
    <w:basedOn w:val="1"/>
    <w:next w:val="9"/>
    <w:qFormat/>
    <w:uiPriority w:val="0"/>
    <w:pPr>
      <w:widowControl/>
      <w:spacing w:before="280" w:after="2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2987</Words>
  <Characters>3055</Characters>
  <Lines>0</Lines>
  <Paragraphs>0</Paragraphs>
  <TotalTime>86</TotalTime>
  <ScaleCrop>false</ScaleCrop>
  <LinksUpToDate>false</LinksUpToDate>
  <CharactersWithSpaces>3055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2022-09-24T10:59:00Z</dcterms:created>
  <dc:creator>雅琴</dc:creator>
  <cp:lastModifiedBy>罗海鹏</cp:lastModifiedBy>
  <cp:lastPrinted>2023-05-24T18:42:00Z</cp:lastPrinted>
  <dcterms:modified xsi:type="dcterms:W3CDTF">2024-04-23T11:44:19Z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7FF694AD534648FCAD35C776D73A77C0</vt:lpwstr>
  </property>
</Properties>
</file>