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highlight w:val="none"/>
        </w:rPr>
      </w:pPr>
    </w:p>
    <w:p>
      <w:pPr>
        <w:pStyle w:val="10"/>
        <w:widowControl/>
        <w:shd w:val="clear" w:color="auto" w:fill="FFFFFF"/>
        <w:spacing w:before="0" w:beforeAutospacing="0" w:after="0" w:afterAutospacing="0" w:line="700" w:lineRule="exact"/>
        <w:ind w:firstLine="0"/>
        <w:jc w:val="center"/>
        <w:rPr>
          <w:rFonts w:hint="eastAsia" w:eastAsia="楷体_GB2312" w:cs="楷体_GB2312"/>
          <w:sz w:val="44"/>
          <w:szCs w:val="44"/>
          <w:highlight w:val="none"/>
        </w:rPr>
      </w:pPr>
      <w:r>
        <w:rPr>
          <w:rFonts w:hint="eastAsia" w:eastAsia="楷体_GB2312" w:cs="楷体_GB2312"/>
          <w:sz w:val="44"/>
          <w:szCs w:val="44"/>
          <w:highlight w:val="none"/>
        </w:rPr>
        <w:t>广东省行政执法年度数据公开样式</w:t>
      </w:r>
    </w:p>
    <w:p>
      <w:pPr>
        <w:pStyle w:val="10"/>
        <w:widowControl/>
        <w:shd w:val="clear" w:color="auto" w:fill="FFFFFF"/>
        <w:spacing w:before="0" w:beforeAutospacing="0" w:after="0" w:afterAutospacing="0" w:line="700" w:lineRule="exact"/>
        <w:ind w:firstLine="0"/>
        <w:jc w:val="center"/>
        <w:rPr>
          <w:rFonts w:hint="eastAsia" w:eastAsia="楷体_GB2312" w:cs="楷体_GB2312"/>
          <w:sz w:val="44"/>
          <w:szCs w:val="44"/>
          <w:highlight w:val="none"/>
        </w:rPr>
      </w:pPr>
      <w:r>
        <w:rPr>
          <w:rFonts w:hint="eastAsia" w:eastAsia="楷体_GB2312" w:cs="楷体_GB2312"/>
          <w:sz w:val="44"/>
          <w:szCs w:val="44"/>
          <w:highlight w:val="none"/>
        </w:rPr>
        <w:t>（</w:t>
      </w:r>
      <w:r>
        <w:rPr>
          <w:rFonts w:hint="eastAsia" w:eastAsia="楷体_GB2312" w:cs="楷体_GB2312"/>
          <w:sz w:val="44"/>
          <w:szCs w:val="44"/>
          <w:highlight w:val="none"/>
          <w:lang w:eastAsia="zh-CN"/>
        </w:rPr>
        <w:t>2023</w:t>
      </w:r>
      <w:r>
        <w:rPr>
          <w:rFonts w:hint="eastAsia" w:eastAsia="楷体_GB2312" w:cs="楷体_GB2312"/>
          <w:sz w:val="44"/>
          <w:szCs w:val="44"/>
          <w:highlight w:val="none"/>
        </w:rPr>
        <w:t>年版）</w:t>
      </w:r>
    </w:p>
    <w:p>
      <w:pPr>
        <w:pStyle w:val="10"/>
        <w:widowControl/>
        <w:shd w:val="clear" w:color="auto" w:fill="FFFFFF"/>
        <w:snapToGrid w:val="0"/>
        <w:spacing w:before="0" w:beforeAutospacing="0" w:after="0" w:afterAutospacing="0" w:line="700" w:lineRule="exact"/>
        <w:ind w:firstLine="0"/>
        <w:jc w:val="center"/>
        <w:rPr>
          <w:rFonts w:hint="eastAsia" w:eastAsia="黑体"/>
          <w:sz w:val="44"/>
          <w:szCs w:val="44"/>
          <w:highlight w:val="none"/>
        </w:rPr>
      </w:pPr>
    </w:p>
    <w:p>
      <w:pPr>
        <w:pStyle w:val="10"/>
        <w:widowControl/>
        <w:shd w:val="clear" w:color="auto" w:fill="FFFFFF"/>
        <w:spacing w:before="0" w:beforeAutospacing="0" w:after="0" w:afterAutospacing="0" w:line="700" w:lineRule="exact"/>
        <w:ind w:firstLine="0"/>
        <w:jc w:val="center"/>
        <w:rPr>
          <w:rFonts w:hint="eastAsia" w:eastAsia="黑体"/>
          <w:sz w:val="44"/>
          <w:szCs w:val="44"/>
          <w:highlight w:val="none"/>
        </w:rPr>
      </w:pPr>
      <w:r>
        <w:rPr>
          <w:rFonts w:hint="eastAsia" w:eastAsia="黑体"/>
          <w:sz w:val="44"/>
          <w:szCs w:val="44"/>
          <w:highlight w:val="none"/>
          <w:lang w:val="en-US" w:eastAsia="zh-CN"/>
        </w:rPr>
        <w:t>江门市住房和城乡建设局2023</w:t>
      </w:r>
      <w:r>
        <w:rPr>
          <w:rFonts w:hint="eastAsia" w:eastAsia="黑体"/>
          <w:sz w:val="44"/>
          <w:szCs w:val="44"/>
          <w:highlight w:val="none"/>
        </w:rPr>
        <w:t>年度行政</w:t>
      </w:r>
    </w:p>
    <w:p>
      <w:pPr>
        <w:pStyle w:val="10"/>
        <w:widowControl/>
        <w:shd w:val="clear" w:color="auto" w:fill="FFFFFF"/>
        <w:spacing w:before="0" w:beforeAutospacing="0" w:after="0" w:afterAutospacing="0" w:line="700" w:lineRule="exact"/>
        <w:ind w:firstLine="0"/>
        <w:jc w:val="center"/>
        <w:rPr>
          <w:szCs w:val="32"/>
          <w:highlight w:val="none"/>
        </w:rPr>
      </w:pPr>
      <w:r>
        <w:rPr>
          <w:rFonts w:hint="eastAsia" w:eastAsia="黑体"/>
          <w:sz w:val="44"/>
          <w:szCs w:val="44"/>
          <w:highlight w:val="none"/>
        </w:rPr>
        <w:t>执法数据</w:t>
      </w:r>
    </w:p>
    <w:p>
      <w:pPr>
        <w:pStyle w:val="10"/>
        <w:widowControl/>
        <w:shd w:val="clear" w:color="auto" w:fill="FFFFFF"/>
        <w:spacing w:before="0" w:beforeAutospacing="0" w:after="0" w:afterAutospacing="0" w:line="700" w:lineRule="exact"/>
        <w:ind w:firstLine="0"/>
        <w:jc w:val="center"/>
        <w:rPr>
          <w:rFonts w:hint="eastAsia" w:eastAsia="黑体" w:cs="黑体"/>
          <w:color w:val="333333"/>
          <w:sz w:val="32"/>
          <w:szCs w:val="32"/>
          <w:highlight w:val="none"/>
        </w:rPr>
      </w:pPr>
    </w:p>
    <w:p>
      <w:pPr>
        <w:pStyle w:val="10"/>
        <w:widowControl/>
        <w:shd w:val="clear" w:color="auto" w:fill="FFFFFF"/>
        <w:ind w:firstLine="0"/>
        <w:jc w:val="center"/>
        <w:rPr>
          <w:rFonts w:hint="eastAsia" w:eastAsia="黑体" w:cs="黑体"/>
          <w:color w:val="333333"/>
          <w:sz w:val="32"/>
          <w:szCs w:val="32"/>
          <w:highlight w:val="none"/>
        </w:rPr>
      </w:pPr>
      <w:r>
        <w:rPr>
          <w:rFonts w:hint="eastAsia" w:eastAsia="黑体" w:cs="黑体"/>
          <w:color w:val="333333"/>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700" w:lineRule="exact"/>
        <w:ind w:left="1826" w:hanging="1826" w:hangingChars="550"/>
        <w:textAlignment w:val="auto"/>
        <w:rPr>
          <w:rFonts w:hint="eastAsia" w:eastAsia="黑体" w:cs="黑体"/>
          <w:color w:val="333333"/>
          <w:spacing w:val="8"/>
          <w:szCs w:val="32"/>
          <w:highlight w:val="none"/>
        </w:rPr>
      </w:pPr>
      <w:r>
        <w:rPr>
          <w:rFonts w:hint="eastAsia" w:eastAsia="黑体" w:cs="黑体"/>
          <w:color w:val="333333"/>
          <w:spacing w:val="8"/>
          <w:szCs w:val="32"/>
          <w:highlight w:val="none"/>
          <w:shd w:val="clear" w:color="auto" w:fill="FFFFFF"/>
        </w:rPr>
        <w:t xml:space="preserve">第一部分  </w:t>
      </w:r>
      <w:r>
        <w:rPr>
          <w:rFonts w:hint="eastAsia" w:eastAsia="黑体" w:cs="黑体"/>
          <w:color w:val="333333"/>
          <w:spacing w:val="8"/>
          <w:szCs w:val="32"/>
          <w:highlight w:val="none"/>
          <w:shd w:val="clear" w:color="auto" w:fill="FFFFFF"/>
          <w:lang w:eastAsia="zh-CN"/>
        </w:rPr>
        <w:t>江门市住房和城乡建设局</w:t>
      </w:r>
      <w:r>
        <w:rPr>
          <w:rFonts w:hint="eastAsia" w:eastAsia="黑体" w:cs="黑体"/>
          <w:color w:val="333333"/>
          <w:spacing w:val="8"/>
          <w:szCs w:val="32"/>
          <w:highlight w:val="none"/>
          <w:shd w:val="clear" w:color="auto" w:fill="FFFFFF"/>
          <w:lang w:val="en-US" w:eastAsia="zh-CN"/>
        </w:rPr>
        <w:t>2023</w:t>
      </w:r>
      <w:r>
        <w:rPr>
          <w:rFonts w:hint="eastAsia" w:eastAsia="黑体" w:cs="黑体"/>
          <w:color w:val="333333"/>
          <w:spacing w:val="8"/>
          <w:szCs w:val="32"/>
          <w:highlight w:val="none"/>
          <w:shd w:val="clear" w:color="auto" w:fill="FFFFFF"/>
        </w:rPr>
        <w:t>年度行政执法数据表</w:t>
      </w:r>
    </w:p>
    <w:p>
      <w:pPr>
        <w:widowControl/>
        <w:shd w:val="clear" w:color="auto" w:fill="FFFFFF"/>
        <w:spacing w:line="700" w:lineRule="exact"/>
        <w:ind w:firstLine="664" w:firstLineChars="200"/>
        <w:rPr>
          <w:rFonts w:hint="eastAsia" w:cs="仿宋_GB2312"/>
          <w:color w:val="333333"/>
          <w:spacing w:val="8"/>
          <w:szCs w:val="32"/>
          <w:highlight w:val="none"/>
        </w:rPr>
      </w:pPr>
      <w:r>
        <w:rPr>
          <w:rFonts w:hint="eastAsia" w:cs="仿宋_GB2312"/>
          <w:color w:val="333333"/>
          <w:spacing w:val="8"/>
          <w:szCs w:val="32"/>
          <w:highlight w:val="none"/>
          <w:shd w:val="clear" w:color="auto" w:fill="FFFFFF"/>
        </w:rPr>
        <w:t>一、行政许可实施情况统计表</w:t>
      </w:r>
    </w:p>
    <w:p>
      <w:pPr>
        <w:spacing w:line="700" w:lineRule="exact"/>
        <w:ind w:firstLine="664" w:firstLineChars="200"/>
        <w:rPr>
          <w:rFonts w:hint="eastAsia" w:cs="仿宋_GB2312"/>
          <w:color w:val="333333"/>
          <w:spacing w:val="8"/>
          <w:szCs w:val="32"/>
          <w:highlight w:val="none"/>
        </w:rPr>
      </w:pPr>
      <w:r>
        <w:rPr>
          <w:rFonts w:hint="eastAsia" w:cs="仿宋_GB2312"/>
          <w:color w:val="333333"/>
          <w:spacing w:val="8"/>
          <w:szCs w:val="32"/>
          <w:highlight w:val="none"/>
          <w:shd w:val="clear" w:color="auto" w:fill="FFFFFF"/>
        </w:rPr>
        <w:t>二、行政处罚实施情况统计表</w:t>
      </w:r>
    </w:p>
    <w:p>
      <w:pPr>
        <w:spacing w:line="700" w:lineRule="exact"/>
        <w:ind w:firstLine="664" w:firstLineChars="200"/>
        <w:rPr>
          <w:rFonts w:hint="eastAsia" w:cs="仿宋_GB2312"/>
          <w:color w:val="333333"/>
          <w:spacing w:val="8"/>
          <w:szCs w:val="32"/>
          <w:highlight w:val="none"/>
        </w:rPr>
      </w:pPr>
      <w:r>
        <w:rPr>
          <w:rFonts w:hint="eastAsia" w:cs="仿宋_GB2312"/>
          <w:color w:val="333333"/>
          <w:spacing w:val="8"/>
          <w:szCs w:val="32"/>
          <w:highlight w:val="none"/>
          <w:shd w:val="clear" w:color="auto" w:fill="FFFFFF"/>
        </w:rPr>
        <w:t>三、行政强制实施情况统计表</w:t>
      </w:r>
    </w:p>
    <w:p>
      <w:pPr>
        <w:spacing w:line="700" w:lineRule="exact"/>
        <w:ind w:firstLine="664" w:firstLineChars="200"/>
        <w:rPr>
          <w:rFonts w:hint="eastAsia" w:cs="仿宋_GB2312"/>
          <w:color w:val="333333"/>
          <w:spacing w:val="8"/>
          <w:szCs w:val="32"/>
          <w:highlight w:val="none"/>
          <w:shd w:val="clear" w:color="auto" w:fill="FFFFFF"/>
        </w:rPr>
      </w:pPr>
      <w:r>
        <w:rPr>
          <w:rFonts w:hint="eastAsia" w:cs="仿宋_GB2312"/>
          <w:color w:val="333333"/>
          <w:spacing w:val="8"/>
          <w:szCs w:val="32"/>
          <w:highlight w:val="none"/>
          <w:shd w:val="clear" w:color="auto" w:fill="FFFFFF"/>
        </w:rPr>
        <w:t>四、行政征收实施情况统计表</w:t>
      </w:r>
    </w:p>
    <w:p>
      <w:pPr>
        <w:spacing w:line="700" w:lineRule="exact"/>
        <w:ind w:firstLine="664" w:firstLineChars="200"/>
        <w:rPr>
          <w:rFonts w:hint="eastAsia" w:cs="仿宋_GB2312"/>
          <w:color w:val="333333"/>
          <w:spacing w:val="8"/>
          <w:szCs w:val="32"/>
          <w:highlight w:val="none"/>
          <w:shd w:val="clear" w:color="auto" w:fill="FFFFFF"/>
        </w:rPr>
      </w:pPr>
      <w:r>
        <w:rPr>
          <w:rFonts w:hint="eastAsia" w:cs="仿宋_GB2312"/>
          <w:color w:val="333333"/>
          <w:spacing w:val="8"/>
          <w:szCs w:val="32"/>
          <w:highlight w:val="none"/>
          <w:shd w:val="clear" w:color="auto" w:fill="FFFFFF"/>
        </w:rPr>
        <w:t>五、行政征用实施情况统计表</w:t>
      </w:r>
    </w:p>
    <w:p>
      <w:pPr>
        <w:spacing w:line="700" w:lineRule="exact"/>
        <w:ind w:firstLine="664" w:firstLineChars="200"/>
        <w:rPr>
          <w:rFonts w:hint="eastAsia" w:cs="仿宋_GB2312"/>
          <w:color w:val="333333"/>
          <w:spacing w:val="8"/>
          <w:szCs w:val="32"/>
          <w:highlight w:val="none"/>
          <w:shd w:val="clear" w:color="auto" w:fill="FFFFFF"/>
        </w:rPr>
      </w:pPr>
      <w:r>
        <w:rPr>
          <w:rFonts w:hint="eastAsia" w:cs="仿宋_GB2312"/>
          <w:color w:val="333333"/>
          <w:spacing w:val="8"/>
          <w:szCs w:val="32"/>
          <w:highlight w:val="none"/>
          <w:shd w:val="clear" w:color="auto" w:fill="FFFFFF"/>
        </w:rPr>
        <w:t>六、行政检查实施情况统计表</w:t>
      </w:r>
    </w:p>
    <w:p>
      <w:pPr>
        <w:keepNext w:val="0"/>
        <w:keepLines w:val="0"/>
        <w:pageBreakBefore w:val="0"/>
        <w:widowControl w:val="0"/>
        <w:kinsoku/>
        <w:wordWrap/>
        <w:overflowPunct/>
        <w:topLinePunct w:val="0"/>
        <w:autoSpaceDE/>
        <w:autoSpaceDN/>
        <w:bidi w:val="0"/>
        <w:adjustRightInd/>
        <w:snapToGrid/>
        <w:spacing w:line="700" w:lineRule="exact"/>
        <w:ind w:left="1826" w:hanging="1826" w:hangingChars="550"/>
        <w:textAlignment w:val="auto"/>
        <w:rPr>
          <w:rFonts w:hint="eastAsia" w:eastAsia="黑体" w:cs="黑体"/>
          <w:color w:val="333333"/>
          <w:spacing w:val="8"/>
          <w:szCs w:val="32"/>
          <w:highlight w:val="none"/>
          <w:shd w:val="clear" w:color="auto" w:fill="FFFFFF"/>
        </w:rPr>
      </w:pPr>
      <w:r>
        <w:rPr>
          <w:rFonts w:hint="eastAsia" w:eastAsia="黑体" w:cs="黑体"/>
          <w:color w:val="333333"/>
          <w:spacing w:val="8"/>
          <w:szCs w:val="32"/>
          <w:highlight w:val="none"/>
          <w:shd w:val="clear" w:color="auto" w:fill="FFFFFF"/>
        </w:rPr>
        <w:t xml:space="preserve">第二部分  </w:t>
      </w:r>
      <w:r>
        <w:rPr>
          <w:rFonts w:hint="eastAsia" w:eastAsia="黑体" w:cs="黑体"/>
          <w:color w:val="333333"/>
          <w:spacing w:val="8"/>
          <w:szCs w:val="32"/>
          <w:highlight w:val="none"/>
          <w:shd w:val="clear" w:color="auto" w:fill="FFFFFF"/>
          <w:lang w:eastAsia="zh-CN"/>
        </w:rPr>
        <w:t>江门市住房和城乡建设局</w:t>
      </w:r>
      <w:r>
        <w:rPr>
          <w:rFonts w:hint="eastAsia" w:eastAsia="黑体" w:cs="黑体"/>
          <w:color w:val="333333"/>
          <w:spacing w:val="8"/>
          <w:szCs w:val="32"/>
          <w:highlight w:val="none"/>
          <w:shd w:val="clear" w:color="auto" w:fill="FFFFFF"/>
          <w:lang w:val="en-US" w:eastAsia="zh-CN"/>
        </w:rPr>
        <w:t>2023</w:t>
      </w:r>
      <w:r>
        <w:rPr>
          <w:rFonts w:hint="eastAsia" w:eastAsia="黑体" w:cs="黑体"/>
          <w:color w:val="333333"/>
          <w:spacing w:val="8"/>
          <w:szCs w:val="32"/>
          <w:highlight w:val="none"/>
          <w:shd w:val="clear" w:color="auto" w:fill="FFFFFF"/>
        </w:rPr>
        <w:t>年度行政执法情况说明</w:t>
      </w:r>
    </w:p>
    <w:p>
      <w:pPr>
        <w:spacing w:line="600" w:lineRule="exact"/>
        <w:rPr>
          <w:rFonts w:hint="eastAsia" w:eastAsia="黑体"/>
          <w:szCs w:val="32"/>
          <w:highlight w:val="none"/>
        </w:rPr>
        <w:sectPr>
          <w:footerReference r:id="rId3" w:type="default"/>
          <w:footerReference r:id="rId4" w:type="even"/>
          <w:type w:val="continuous"/>
          <w:pgSz w:w="11906" w:h="16838"/>
          <w:pgMar w:top="1701" w:right="1701" w:bottom="1701" w:left="1701" w:header="0" w:footer="1134" w:gutter="0"/>
          <w:pgNumType w:fmt="decimal"/>
          <w:cols w:space="720" w:num="1"/>
          <w:docGrid w:type="linesAndChars" w:linePitch="579" w:charSpace="-849"/>
        </w:sectPr>
      </w:pPr>
    </w:p>
    <w:p>
      <w:pPr>
        <w:spacing w:line="600" w:lineRule="exact"/>
        <w:jc w:val="center"/>
        <w:rPr>
          <w:rFonts w:hint="eastAsia" w:eastAsia="黑体"/>
          <w:sz w:val="44"/>
          <w:szCs w:val="44"/>
          <w:highlight w:val="none"/>
        </w:rPr>
      </w:pPr>
      <w:r>
        <w:rPr>
          <w:rFonts w:hint="eastAsia" w:eastAsia="黑体"/>
          <w:sz w:val="44"/>
          <w:szCs w:val="44"/>
          <w:highlight w:val="none"/>
        </w:rPr>
        <w:t>第</w:t>
      </w:r>
      <w:r>
        <w:rPr>
          <w:rFonts w:hint="eastAsia" w:eastAsia="黑体"/>
          <w:sz w:val="44"/>
          <w:szCs w:val="44"/>
          <w:highlight w:val="none"/>
          <w:lang w:eastAsia="zh-CN"/>
        </w:rPr>
        <w:t>一</w:t>
      </w:r>
      <w:r>
        <w:rPr>
          <w:rFonts w:hint="eastAsia" w:eastAsia="黑体"/>
          <w:sz w:val="44"/>
          <w:szCs w:val="44"/>
          <w:highlight w:val="none"/>
        </w:rPr>
        <w:t xml:space="preserve">部分  </w:t>
      </w:r>
      <w:r>
        <w:rPr>
          <w:rFonts w:hint="eastAsia" w:eastAsia="黑体" w:cs="黑体"/>
          <w:color w:val="333333"/>
          <w:spacing w:val="8"/>
          <w:szCs w:val="32"/>
          <w:highlight w:val="none"/>
          <w:shd w:val="clear" w:color="auto" w:fill="FFFFFF"/>
        </w:rPr>
        <w:t xml:space="preserve"> </w:t>
      </w:r>
      <w:r>
        <w:rPr>
          <w:rFonts w:hint="eastAsia" w:ascii="Times New Roman" w:hAnsi="Times New Roman" w:eastAsia="黑体" w:cs="Times New Roman"/>
          <w:color w:val="333333"/>
          <w:sz w:val="44"/>
          <w:szCs w:val="44"/>
          <w:highlight w:val="none"/>
          <w:lang w:eastAsia="zh-CN"/>
        </w:rPr>
        <w:t>江门市住房和城乡建设局</w:t>
      </w:r>
      <w:r>
        <w:rPr>
          <w:rFonts w:hint="eastAsia" w:ascii="Times New Roman" w:hAnsi="Times New Roman" w:eastAsia="黑体" w:cs="Times New Roman"/>
          <w:color w:val="333333"/>
          <w:sz w:val="44"/>
          <w:szCs w:val="44"/>
          <w:highlight w:val="none"/>
          <w:lang w:val="en-US" w:eastAsia="zh-CN"/>
        </w:rPr>
        <w:t>2023</w:t>
      </w:r>
      <w:r>
        <w:rPr>
          <w:rFonts w:hint="eastAsia" w:eastAsia="黑体"/>
          <w:color w:val="333333"/>
          <w:sz w:val="44"/>
          <w:szCs w:val="44"/>
          <w:highlight w:val="none"/>
        </w:rPr>
        <w:t>年度</w:t>
      </w:r>
      <w:r>
        <w:rPr>
          <w:rFonts w:hint="eastAsia" w:eastAsia="黑体"/>
          <w:sz w:val="44"/>
          <w:szCs w:val="44"/>
          <w:highlight w:val="none"/>
        </w:rPr>
        <w:t>行政执法数据表</w:t>
      </w:r>
    </w:p>
    <w:p>
      <w:pPr>
        <w:spacing w:line="600" w:lineRule="exact"/>
        <w:rPr>
          <w:rFonts w:hint="eastAsia"/>
          <w:szCs w:val="32"/>
          <w:highlight w:val="none"/>
        </w:rPr>
      </w:pPr>
      <w:r>
        <w:rPr>
          <w:rFonts w:hint="eastAsia"/>
          <w:szCs w:val="32"/>
          <w:highlight w:val="none"/>
        </w:rPr>
        <w:t>表一</w:t>
      </w:r>
    </w:p>
    <w:p>
      <w:pPr>
        <w:spacing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color w:val="333333"/>
          <w:spacing w:val="0"/>
          <w:szCs w:val="32"/>
          <w:highlight w:val="none"/>
          <w:shd w:val="clear" w:color="auto" w:fill="auto"/>
        </w:rPr>
        <w:t xml:space="preserve"> </w:t>
      </w:r>
      <w:r>
        <w:rPr>
          <w:rFonts w:hint="eastAsia" w:ascii="方正黑体_GBK" w:hAnsi="方正黑体_GBK" w:eastAsia="方正黑体_GBK" w:cs="方正黑体_GBK"/>
          <w:color w:val="333333"/>
          <w:spacing w:val="0"/>
          <w:szCs w:val="32"/>
          <w:highlight w:val="none"/>
          <w:shd w:val="clear" w:color="auto" w:fill="auto"/>
          <w:lang w:eastAsia="zh-CN"/>
        </w:rPr>
        <w:t>江门市住房和城乡建设局</w:t>
      </w:r>
      <w:r>
        <w:rPr>
          <w:rFonts w:hint="eastAsia" w:ascii="方正黑体_GBK" w:hAnsi="方正黑体_GBK" w:eastAsia="方正黑体_GBK" w:cs="方正黑体_GBK"/>
          <w:color w:val="333333"/>
          <w:spacing w:val="0"/>
          <w:szCs w:val="32"/>
          <w:highlight w:val="none"/>
          <w:shd w:val="clear" w:color="auto" w:fill="auto"/>
          <w:lang w:val="en-US" w:eastAsia="zh-CN"/>
        </w:rPr>
        <w:t>2023</w:t>
      </w:r>
      <w:r>
        <w:rPr>
          <w:rFonts w:hint="eastAsia" w:ascii="方正黑体_GBK" w:hAnsi="方正黑体_GBK" w:eastAsia="方正黑体_GBK" w:cs="方正黑体_GBK"/>
          <w:color w:val="333333"/>
          <w:szCs w:val="32"/>
          <w:highlight w:val="none"/>
        </w:rPr>
        <w:t>年度</w:t>
      </w:r>
      <w:r>
        <w:rPr>
          <w:rFonts w:hint="eastAsia" w:ascii="方正黑体_GBK" w:hAnsi="方正黑体_GBK" w:eastAsia="方正黑体_GBK" w:cs="方正黑体_GBK"/>
          <w:szCs w:val="32"/>
          <w:highlight w:val="none"/>
        </w:rPr>
        <w:t>行政许可实施情况统计表</w:t>
      </w:r>
    </w:p>
    <w:p>
      <w:pPr>
        <w:spacing w:line="600" w:lineRule="exact"/>
        <w:jc w:val="center"/>
        <w:rPr>
          <w:rFonts w:hint="eastAsia" w:eastAsia="黑体"/>
          <w:szCs w:val="32"/>
          <w:highlight w:val="none"/>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2"/>
        <w:gridCol w:w="3053"/>
        <w:gridCol w:w="1997"/>
        <w:gridCol w:w="1997"/>
        <w:gridCol w:w="1997"/>
        <w:gridCol w:w="1999"/>
        <w:gridCol w:w="1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30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单位名称</w:t>
            </w:r>
          </w:p>
        </w:tc>
        <w:tc>
          <w:tcPr>
            <w:tcW w:w="799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行政许可实施数量（宗）</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撤销许可的数量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3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申请数量</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受理数量</w:t>
            </w:r>
          </w:p>
        </w:tc>
        <w:tc>
          <w:tcPr>
            <w:tcW w:w="199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许可</w:t>
            </w:r>
          </w:p>
        </w:tc>
        <w:tc>
          <w:tcPr>
            <w:tcW w:w="19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不予许可的数量</w:t>
            </w: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3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的数量</w:t>
            </w:r>
          </w:p>
        </w:tc>
        <w:tc>
          <w:tcPr>
            <w:tcW w:w="1999"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305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江门市住房和城乡建设局</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343</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343</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326</w:t>
            </w:r>
          </w:p>
        </w:tc>
        <w:tc>
          <w:tcPr>
            <w:tcW w:w="1999"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17</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30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委托单位名称</w:t>
            </w:r>
          </w:p>
        </w:tc>
        <w:tc>
          <w:tcPr>
            <w:tcW w:w="799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行政许可实施数量（宗）</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撤销许可的数量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3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申请数量</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受理数量</w:t>
            </w:r>
          </w:p>
        </w:tc>
        <w:tc>
          <w:tcPr>
            <w:tcW w:w="199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许可</w:t>
            </w:r>
          </w:p>
        </w:tc>
        <w:tc>
          <w:tcPr>
            <w:tcW w:w="19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不予许可的数量</w:t>
            </w: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3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的数量</w:t>
            </w:r>
          </w:p>
        </w:tc>
        <w:tc>
          <w:tcPr>
            <w:tcW w:w="1999" w:type="dxa"/>
            <w:vMerge w:val="continue"/>
            <w:tcBorders>
              <w:top w:val="single" w:color="000000" w:sz="4" w:space="0"/>
              <w:left w:val="single" w:color="000000" w:sz="4" w:space="0"/>
              <w:bottom w:val="single" w:color="000000" w:sz="4" w:space="0"/>
              <w:right w:val="single" w:color="000000" w:sz="4" w:space="0"/>
            </w:tcBorders>
          </w:tcPr>
          <w:p>
            <w:pPr>
              <w:jc w:val="center"/>
              <w:rPr>
                <w:rFonts w:hint="eastAsia" w:ascii="黑体" w:hAnsi="宋体" w:eastAsia="黑体" w:cs="黑体"/>
                <w:i w:val="0"/>
                <w:color w:val="000000"/>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305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广东省住房和城乡建设厅</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12</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12</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8</w:t>
            </w:r>
          </w:p>
        </w:tc>
        <w:tc>
          <w:tcPr>
            <w:tcW w:w="1999"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4</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6"/>
                <w:szCs w:val="26"/>
                <w:highlight w:val="none"/>
                <w:u w:val="none"/>
                <w:lang w:val="en-US" w:eastAsia="zh-CN" w:bidi="ar"/>
              </w:rPr>
            </w:pPr>
          </w:p>
        </w:tc>
        <w:tc>
          <w:tcPr>
            <w:tcW w:w="305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合计</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12</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12</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8</w:t>
            </w:r>
          </w:p>
        </w:tc>
        <w:tc>
          <w:tcPr>
            <w:tcW w:w="1999"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4</w:t>
            </w:r>
          </w:p>
        </w:tc>
        <w:tc>
          <w:tcPr>
            <w:tcW w:w="199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199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355</w:t>
            </w:r>
          </w:p>
        </w:tc>
        <w:tc>
          <w:tcPr>
            <w:tcW w:w="199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355</w:t>
            </w:r>
          </w:p>
        </w:tc>
        <w:tc>
          <w:tcPr>
            <w:tcW w:w="199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334</w:t>
            </w:r>
          </w:p>
        </w:tc>
        <w:tc>
          <w:tcPr>
            <w:tcW w:w="199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21</w:t>
            </w:r>
          </w:p>
        </w:tc>
        <w:tc>
          <w:tcPr>
            <w:tcW w:w="1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r>
    </w:tbl>
    <w:p>
      <w:pPr>
        <w:spacing w:line="500" w:lineRule="exact"/>
        <w:ind w:firstLine="0"/>
        <w:rPr>
          <w:rFonts w:hint="eastAsia"/>
          <w:sz w:val="24"/>
          <w:highlight w:val="none"/>
        </w:rPr>
      </w:pPr>
    </w:p>
    <w:p>
      <w:pPr>
        <w:spacing w:line="500" w:lineRule="exact"/>
        <w:ind w:firstLine="0"/>
        <w:rPr>
          <w:rFonts w:hint="eastAsia"/>
          <w:sz w:val="24"/>
          <w:highlight w:val="none"/>
        </w:rPr>
      </w:pPr>
      <w:r>
        <w:rPr>
          <w:rFonts w:hint="eastAsia"/>
          <w:sz w:val="24"/>
          <w:highlight w:val="none"/>
        </w:rPr>
        <w:t>说明：</w:t>
      </w:r>
    </w:p>
    <w:p>
      <w:pPr>
        <w:spacing w:line="500" w:lineRule="exact"/>
        <w:ind w:firstLine="482"/>
        <w:rPr>
          <w:rFonts w:hint="eastAsia"/>
          <w:sz w:val="24"/>
          <w:highlight w:val="none"/>
        </w:rPr>
      </w:pPr>
      <w:r>
        <w:rPr>
          <w:rFonts w:hint="eastAsia"/>
          <w:sz w:val="24"/>
          <w:highlight w:val="none"/>
        </w:rPr>
        <w:t>1. “申请数量”的统计范围为统计年度1月1日至12月31日期间许可机关收到当事人许可申请的数量。</w:t>
      </w:r>
    </w:p>
    <w:p>
      <w:pPr>
        <w:spacing w:line="500" w:lineRule="exact"/>
        <w:ind w:firstLine="482"/>
        <w:rPr>
          <w:rFonts w:hint="eastAsia"/>
          <w:sz w:val="24"/>
          <w:highlight w:val="none"/>
        </w:rPr>
      </w:pPr>
      <w:r>
        <w:rPr>
          <w:rFonts w:hint="eastAsia"/>
          <w:sz w:val="24"/>
          <w:highlight w:val="none"/>
        </w:rPr>
        <w:t>2. “受理数量”、“许可的数量”、“不予许可的数量”、“撤销许可的数量”的统计范围为统计年度1月1日至12月31日期间许可机关作出受理决定、许可决定、不予许可决定的数量，以及撤销许可决定的数量。</w:t>
      </w:r>
    </w:p>
    <w:p>
      <w:pPr>
        <w:spacing w:line="500" w:lineRule="exact"/>
        <w:ind w:firstLine="482"/>
        <w:rPr>
          <w:rFonts w:hint="eastAsia"/>
          <w:sz w:val="24"/>
          <w:highlight w:val="none"/>
        </w:rPr>
      </w:pPr>
      <w:r>
        <w:rPr>
          <w:rFonts w:hint="eastAsia"/>
          <w:sz w:val="24"/>
          <w:highlight w:val="none"/>
        </w:rPr>
        <w:t>3. 准予变更、延续和不予变更、延续的数量，分别计入“许可的数量”、“不予许可的数量”。</w:t>
      </w:r>
    </w:p>
    <w:p>
      <w:pPr>
        <w:spacing w:line="600" w:lineRule="exact"/>
        <w:rPr>
          <w:rFonts w:hint="eastAsia"/>
          <w:szCs w:val="32"/>
          <w:highlight w:val="none"/>
        </w:rPr>
      </w:pPr>
      <w:r>
        <w:rPr>
          <w:rFonts w:hint="eastAsia"/>
          <w:sz w:val="24"/>
          <w:highlight w:val="none"/>
        </w:rPr>
        <w:br w:type="page"/>
      </w:r>
      <w:r>
        <w:rPr>
          <w:rFonts w:hint="eastAsia"/>
          <w:szCs w:val="32"/>
          <w:highlight w:val="none"/>
        </w:rPr>
        <w:t>表二</w:t>
      </w:r>
    </w:p>
    <w:p>
      <w:pPr>
        <w:spacing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color w:val="333333"/>
          <w:szCs w:val="32"/>
          <w:highlight w:val="none"/>
          <w:lang w:eastAsia="zh-CN"/>
        </w:rPr>
        <w:t>江门市住房和城乡建设局</w:t>
      </w:r>
      <w:r>
        <w:rPr>
          <w:rFonts w:hint="eastAsia" w:ascii="方正黑体_GBK" w:hAnsi="方正黑体_GBK" w:eastAsia="方正黑体_GBK" w:cs="方正黑体_GBK"/>
          <w:color w:val="333333"/>
          <w:szCs w:val="32"/>
          <w:highlight w:val="none"/>
          <w:lang w:val="en-US" w:eastAsia="zh-CN"/>
        </w:rPr>
        <w:t>2023</w:t>
      </w:r>
      <w:r>
        <w:rPr>
          <w:rFonts w:hint="eastAsia" w:ascii="方正黑体_GBK" w:hAnsi="方正黑体_GBK" w:eastAsia="方正黑体_GBK" w:cs="方正黑体_GBK"/>
          <w:color w:val="333333"/>
          <w:szCs w:val="32"/>
          <w:highlight w:val="none"/>
        </w:rPr>
        <w:t>年度</w:t>
      </w:r>
      <w:r>
        <w:rPr>
          <w:rFonts w:hint="eastAsia" w:ascii="方正黑体_GBK" w:hAnsi="方正黑体_GBK" w:eastAsia="方正黑体_GBK" w:cs="方正黑体_GBK"/>
          <w:szCs w:val="32"/>
          <w:highlight w:val="none"/>
        </w:rPr>
        <w:t>行政处罚实施情况统计表</w:t>
      </w:r>
    </w:p>
    <w:p>
      <w:pPr>
        <w:spacing w:line="300" w:lineRule="exact"/>
        <w:jc w:val="center"/>
        <w:rPr>
          <w:rFonts w:hint="eastAsia" w:eastAsia="黑体"/>
          <w:szCs w:val="32"/>
          <w:highlight w:val="none"/>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8"/>
        <w:gridCol w:w="699"/>
        <w:gridCol w:w="698"/>
        <w:gridCol w:w="699"/>
        <w:gridCol w:w="526"/>
        <w:gridCol w:w="173"/>
        <w:gridCol w:w="698"/>
        <w:gridCol w:w="698"/>
        <w:gridCol w:w="141"/>
        <w:gridCol w:w="558"/>
        <w:gridCol w:w="162"/>
        <w:gridCol w:w="537"/>
        <w:gridCol w:w="213"/>
        <w:gridCol w:w="485"/>
        <w:gridCol w:w="355"/>
        <w:gridCol w:w="343"/>
        <w:gridCol w:w="392"/>
        <w:gridCol w:w="307"/>
        <w:gridCol w:w="383"/>
        <w:gridCol w:w="316"/>
        <w:gridCol w:w="389"/>
        <w:gridCol w:w="309"/>
        <w:gridCol w:w="456"/>
        <w:gridCol w:w="242"/>
        <w:gridCol w:w="643"/>
        <w:gridCol w:w="55"/>
        <w:gridCol w:w="710"/>
        <w:gridCol w:w="689"/>
        <w:gridCol w:w="466"/>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73" w:type="dxa"/>
            <w:gridSpan w:val="3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序号</w:t>
            </w:r>
          </w:p>
        </w:tc>
        <w:tc>
          <w:tcPr>
            <w:tcW w:w="6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单位名称</w:t>
            </w:r>
          </w:p>
        </w:tc>
        <w:tc>
          <w:tcPr>
            <w:tcW w:w="10488" w:type="dxa"/>
            <w:gridSpan w:val="2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行政处罚实施数量（宗）</w:t>
            </w:r>
          </w:p>
        </w:tc>
        <w:tc>
          <w:tcPr>
            <w:tcW w:w="115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罚没金额（万元）</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警告</w:t>
            </w:r>
          </w:p>
        </w:tc>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通报批评</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罚款</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没收违法所得、没收非法财物</w:t>
            </w:r>
          </w:p>
        </w:tc>
        <w:tc>
          <w:tcPr>
            <w:tcW w:w="8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暂扣许可证件</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降低资质等级</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吊销许可证件</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限制开展生产经营活动</w:t>
            </w:r>
          </w:p>
        </w:tc>
        <w:tc>
          <w:tcPr>
            <w:tcW w:w="7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责令停产停业</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责令关闭</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限制从业</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行政拘留</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其他行政处罚</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合 计（宗）</w:t>
            </w:r>
          </w:p>
        </w:tc>
        <w:tc>
          <w:tcPr>
            <w:tcW w:w="115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黑体" w:hAnsi="宋体" w:eastAsia="黑体" w:cs="黑体"/>
                <w:i w:val="0"/>
                <w:color w:val="000000"/>
                <w:sz w:val="22"/>
                <w:szCs w:val="22"/>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highlight w:val="none"/>
                <w:u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kern w:val="0"/>
                <w:sz w:val="22"/>
                <w:szCs w:val="22"/>
                <w:highlight w:val="none"/>
                <w:u w:val="none"/>
                <w:lang w:val="en-US" w:eastAsia="zh-CN" w:bidi="ar"/>
              </w:rPr>
              <w:t>江门市住房和城乡建设局</w:t>
            </w:r>
          </w:p>
        </w:tc>
        <w:tc>
          <w:tcPr>
            <w:tcW w:w="698"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699"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526"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871"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39"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5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4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3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69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0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8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115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933"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73" w:type="dxa"/>
            <w:gridSpan w:val="3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序号</w:t>
            </w:r>
          </w:p>
        </w:tc>
        <w:tc>
          <w:tcPr>
            <w:tcW w:w="6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委托单位名称</w:t>
            </w:r>
          </w:p>
        </w:tc>
        <w:tc>
          <w:tcPr>
            <w:tcW w:w="10488" w:type="dxa"/>
            <w:gridSpan w:val="2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行政处罚实施数量（宗）</w:t>
            </w:r>
          </w:p>
        </w:tc>
        <w:tc>
          <w:tcPr>
            <w:tcW w:w="115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罚没金额（万元）</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警告</w:t>
            </w:r>
          </w:p>
        </w:tc>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通报批评</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罚款</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没收违法所得、没收非法财物</w:t>
            </w:r>
          </w:p>
        </w:tc>
        <w:tc>
          <w:tcPr>
            <w:tcW w:w="8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暂扣许可证件</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降低资质等级</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吊销许可证件</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限制开展生产经营活动</w:t>
            </w:r>
          </w:p>
        </w:tc>
        <w:tc>
          <w:tcPr>
            <w:tcW w:w="7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责令停产停业</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责令关闭</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限制从业</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行政拘留</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其他行政处罚</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合 计（宗）</w:t>
            </w:r>
          </w:p>
        </w:tc>
        <w:tc>
          <w:tcPr>
            <w:tcW w:w="115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黑体" w:hAnsi="宋体" w:eastAsia="黑体" w:cs="黑体"/>
                <w:i w:val="0"/>
                <w:color w:val="000000"/>
                <w:sz w:val="22"/>
                <w:szCs w:val="22"/>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highlight w:val="none"/>
                <w:u w:val="none"/>
              </w:rPr>
            </w:pPr>
          </w:p>
        </w:tc>
        <w:tc>
          <w:tcPr>
            <w:tcW w:w="69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2"/>
                <w:szCs w:val="22"/>
                <w:highlight w:val="none"/>
                <w:u w:val="none"/>
              </w:rPr>
            </w:pPr>
          </w:p>
          <w:p>
            <w:pPr>
              <w:keepNext w:val="0"/>
              <w:keepLines w:val="0"/>
              <w:widowControl/>
              <w:suppressLineNumbers w:val="0"/>
              <w:jc w:val="center"/>
              <w:textAlignment w:val="top"/>
              <w:rPr>
                <w:rFonts w:hint="eastAsia" w:ascii="仿宋_GB2312" w:hAnsi="宋体" w:eastAsia="仿宋_GB2312" w:cs="仿宋_GB2312"/>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广东省住房和城乡建设厅</w:t>
            </w:r>
          </w:p>
        </w:tc>
        <w:tc>
          <w:tcPr>
            <w:tcW w:w="698" w:type="dxa"/>
            <w:tcBorders>
              <w:top w:val="single" w:color="000000" w:sz="4" w:space="0"/>
              <w:left w:val="single" w:color="000000" w:sz="4" w:space="0"/>
              <w:bottom w:val="single" w:color="000000" w:sz="4" w:space="0"/>
              <w:right w:val="single" w:color="000000" w:sz="4" w:space="0"/>
            </w:tcBorders>
          </w:tcPr>
          <w:p>
            <w:pPr>
              <w:jc w:val="center"/>
              <w:rPr>
                <w:rFonts w:hint="default" w:ascii="仿宋_GB2312" w:hAnsi="宋体" w:eastAsia="仿宋_GB2312" w:cs="仿宋_GB2312"/>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699"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526"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71"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39"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5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4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3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69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0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8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115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933"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highlight w:val="none"/>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kern w:val="0"/>
                <w:sz w:val="22"/>
                <w:szCs w:val="22"/>
                <w:highlight w:val="none"/>
                <w:u w:val="none"/>
                <w:lang w:val="en-US" w:eastAsia="zh-CN" w:bidi="ar"/>
              </w:rPr>
            </w:pPr>
            <w:r>
              <w:rPr>
                <w:rFonts w:hint="eastAsia" w:ascii="仿宋_GB2312" w:hAnsi="宋体" w:cs="仿宋_GB2312"/>
                <w:i w:val="0"/>
                <w:color w:val="000000"/>
                <w:kern w:val="0"/>
                <w:sz w:val="22"/>
                <w:szCs w:val="22"/>
                <w:highlight w:val="none"/>
                <w:u w:val="none"/>
                <w:lang w:val="en-US" w:eastAsia="zh-CN" w:bidi="ar"/>
              </w:rPr>
              <w:t>合计</w:t>
            </w:r>
          </w:p>
        </w:tc>
        <w:tc>
          <w:tcPr>
            <w:tcW w:w="698"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699"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526"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71"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39"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5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4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3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690"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0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88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76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1155" w:type="dxa"/>
            <w:gridSpan w:val="2"/>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r>
              <w:rPr>
                <w:rFonts w:hint="eastAsia" w:ascii="仿宋_GB2312" w:hAnsi="宋体" w:cs="仿宋_GB2312"/>
                <w:i w:val="0"/>
                <w:color w:val="000000"/>
                <w:sz w:val="22"/>
                <w:szCs w:val="22"/>
                <w:highlight w:val="none"/>
                <w:u w:val="none"/>
                <w:lang w:val="en-US" w:eastAsia="zh-CN"/>
              </w:rPr>
              <w:t>0</w:t>
            </w:r>
          </w:p>
        </w:tc>
        <w:tc>
          <w:tcPr>
            <w:tcW w:w="933"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eastAsia="仿宋_GB2312" w:cs="仿宋_GB2312"/>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73" w:type="dxa"/>
            <w:gridSpan w:val="3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6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13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139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r>
    </w:tbl>
    <w:p>
      <w:pPr>
        <w:spacing w:line="600" w:lineRule="exact"/>
        <w:jc w:val="center"/>
        <w:rPr>
          <w:rFonts w:hint="eastAsia" w:eastAsia="黑体"/>
          <w:szCs w:val="32"/>
          <w:highlight w:val="none"/>
        </w:rPr>
      </w:pPr>
    </w:p>
    <w:p>
      <w:pPr>
        <w:spacing w:line="360" w:lineRule="exact"/>
        <w:ind w:firstLine="482"/>
        <w:rPr>
          <w:rFonts w:hint="eastAsia"/>
          <w:sz w:val="24"/>
          <w:highlight w:val="none"/>
        </w:rPr>
      </w:pPr>
      <w:r>
        <w:rPr>
          <w:rFonts w:hint="eastAsia"/>
          <w:sz w:val="24"/>
          <w:highlight w:val="none"/>
        </w:rPr>
        <w:t>说明：</w:t>
      </w:r>
    </w:p>
    <w:p>
      <w:pPr>
        <w:spacing w:line="360" w:lineRule="exact"/>
        <w:ind w:firstLine="482"/>
        <w:rPr>
          <w:rFonts w:hint="eastAsia"/>
          <w:sz w:val="24"/>
          <w:highlight w:val="none"/>
        </w:rPr>
      </w:pPr>
      <w:r>
        <w:rPr>
          <w:rFonts w:hint="eastAsia"/>
          <w:sz w:val="24"/>
          <w:highlight w:val="none"/>
        </w:rPr>
        <w:t>1. 行政处罚实施数量的统计范围为统计年度1月1日至12月31日期间作出行政处罚决定的数量（包括经行政复议或者行政诉讼被撤销的行政处罚决定数量）。</w:t>
      </w:r>
    </w:p>
    <w:p>
      <w:pPr>
        <w:spacing w:line="360" w:lineRule="exact"/>
        <w:ind w:firstLine="482"/>
        <w:rPr>
          <w:rFonts w:hint="eastAsia"/>
          <w:sz w:val="24"/>
          <w:highlight w:val="none"/>
        </w:rPr>
      </w:pPr>
      <w:r>
        <w:rPr>
          <w:rFonts w:hint="eastAsia"/>
          <w:sz w:val="24"/>
          <w:highlight w:val="none"/>
        </w:rPr>
        <w:t>2. 其他行政处罚，为法律、行政法规规定的其他行政处罚，比如驱逐出境。</w:t>
      </w:r>
    </w:p>
    <w:p>
      <w:pPr>
        <w:spacing w:line="360" w:lineRule="exact"/>
        <w:ind w:firstLine="482"/>
        <w:rPr>
          <w:rFonts w:hint="default" w:eastAsia="仿宋_GB2312"/>
          <w:sz w:val="24"/>
          <w:highlight w:val="none"/>
          <w:lang w:val="en-US" w:eastAsia="zh-CN"/>
        </w:rPr>
      </w:pPr>
      <w:r>
        <w:rPr>
          <w:rFonts w:hint="eastAsia"/>
          <w:sz w:val="24"/>
          <w:highlight w:val="none"/>
        </w:rPr>
        <w:t>3. 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没收非法财物，（5）限制开展生产经营活动，（6）责令停产停业，（7）责令关闭，（8）限制从业，（9）暂扣许可证件，（10）降低资质等级，（11）吊销许可证件，（12）行政拘留。</w:t>
      </w:r>
    </w:p>
    <w:p>
      <w:pPr>
        <w:spacing w:line="360" w:lineRule="exact"/>
        <w:ind w:firstLine="482"/>
        <w:rPr>
          <w:rFonts w:hint="eastAsia"/>
          <w:sz w:val="24"/>
          <w:highlight w:val="none"/>
        </w:rPr>
      </w:pPr>
      <w:r>
        <w:rPr>
          <w:rFonts w:hint="eastAsia"/>
          <w:sz w:val="24"/>
          <w:highlight w:val="none"/>
        </w:rPr>
        <w:t>4. 没收违法所得、没收非法财物能确定金额的，计入“罚没金额”；不能确定金额的，不计入“罚没金额”。</w:t>
      </w:r>
    </w:p>
    <w:p>
      <w:pPr>
        <w:spacing w:line="360" w:lineRule="exact"/>
        <w:ind w:firstLine="482"/>
        <w:rPr>
          <w:rFonts w:hint="eastAsia"/>
          <w:sz w:val="24"/>
          <w:highlight w:val="none"/>
        </w:rPr>
      </w:pPr>
      <w:r>
        <w:rPr>
          <w:rFonts w:hint="eastAsia"/>
          <w:sz w:val="24"/>
          <w:highlight w:val="none"/>
        </w:rPr>
        <w:t>5. “罚没金额”以处罚决定书确定的金额为准。</w:t>
      </w:r>
    </w:p>
    <w:p>
      <w:pPr>
        <w:spacing w:line="600" w:lineRule="exact"/>
        <w:rPr>
          <w:rFonts w:hint="eastAsia"/>
          <w:szCs w:val="32"/>
          <w:highlight w:val="none"/>
        </w:rPr>
      </w:pPr>
      <w:r>
        <w:rPr>
          <w:rFonts w:hint="eastAsia"/>
          <w:sz w:val="24"/>
          <w:highlight w:val="none"/>
        </w:rPr>
        <w:br w:type="page"/>
      </w:r>
      <w:r>
        <w:rPr>
          <w:rFonts w:hint="eastAsia"/>
          <w:szCs w:val="32"/>
          <w:highlight w:val="none"/>
        </w:rPr>
        <w:t>表三</w:t>
      </w:r>
    </w:p>
    <w:p>
      <w:pPr>
        <w:spacing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lang w:eastAsia="zh-CN"/>
        </w:rPr>
        <w:t>江门市住房和城乡建设局</w:t>
      </w:r>
      <w:r>
        <w:rPr>
          <w:rFonts w:hint="eastAsia" w:ascii="方正黑体_GBK" w:hAnsi="方正黑体_GBK" w:eastAsia="方正黑体_GBK" w:cs="方正黑体_GBK"/>
          <w:szCs w:val="32"/>
          <w:highlight w:val="none"/>
          <w:lang w:val="en-US" w:eastAsia="zh-CN"/>
        </w:rPr>
        <w:t>2023</w:t>
      </w:r>
      <w:r>
        <w:rPr>
          <w:rFonts w:hint="eastAsia" w:ascii="方正黑体_GBK" w:hAnsi="方正黑体_GBK" w:eastAsia="方正黑体_GBK" w:cs="方正黑体_GBK"/>
          <w:szCs w:val="32"/>
          <w:highlight w:val="none"/>
        </w:rPr>
        <w:t>年度行政强制实施情况统计表</w:t>
      </w:r>
    </w:p>
    <w:p>
      <w:pPr>
        <w:spacing w:line="300" w:lineRule="exact"/>
        <w:jc w:val="center"/>
        <w:rPr>
          <w:rFonts w:hint="eastAsia" w:eastAsia="黑体"/>
          <w:szCs w:val="32"/>
          <w:highlight w:val="none"/>
        </w:rPr>
      </w:pPr>
    </w:p>
    <w:tbl>
      <w:tblPr>
        <w:tblStyle w:val="12"/>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0"/>
        <w:gridCol w:w="1229"/>
        <w:gridCol w:w="931"/>
        <w:gridCol w:w="932"/>
        <w:gridCol w:w="931"/>
        <w:gridCol w:w="932"/>
        <w:gridCol w:w="931"/>
        <w:gridCol w:w="932"/>
        <w:gridCol w:w="932"/>
        <w:gridCol w:w="932"/>
        <w:gridCol w:w="932"/>
        <w:gridCol w:w="932"/>
        <w:gridCol w:w="932"/>
        <w:gridCol w:w="162"/>
        <w:gridCol w:w="770"/>
        <w:gridCol w:w="32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12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单位名称</w:t>
            </w:r>
          </w:p>
        </w:tc>
        <w:tc>
          <w:tcPr>
            <w:tcW w:w="4657" w:type="dxa"/>
            <w:gridSpan w:val="5"/>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行政强制措施实施数量（宗）</w:t>
            </w:r>
          </w:p>
        </w:tc>
        <w:tc>
          <w:tcPr>
            <w:tcW w:w="6849" w:type="dxa"/>
            <w:gridSpan w:val="9"/>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行政强制执行实施数量（宗）</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限制公民人身自由</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查封场所、设施或者财物</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扣押财物</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冻结存款、汇款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其他行政强制措施</w:t>
            </w:r>
          </w:p>
        </w:tc>
        <w:tc>
          <w:tcPr>
            <w:tcW w:w="57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行政机关强制执行</w:t>
            </w:r>
          </w:p>
        </w:tc>
        <w:tc>
          <w:tcPr>
            <w:tcW w:w="109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申请法院强制执行</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1"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加处罚款或者滞纳金</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划拨存款、汇款</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拍卖或者依法处理查封、扣押的场所、设施或者财物</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排除妨碍、恢复原状</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代履行</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其他强制执行方式</w:t>
            </w:r>
          </w:p>
        </w:tc>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22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left"/>
              <w:textAlignment w:val="top"/>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kern w:val="0"/>
                <w:sz w:val="24"/>
                <w:szCs w:val="24"/>
                <w:highlight w:val="none"/>
                <w:u w:val="none"/>
                <w:lang w:val="en-US" w:eastAsia="zh-CN" w:bidi="ar"/>
              </w:rPr>
              <w:t>江门市住房和城乡建设局</w:t>
            </w:r>
          </w:p>
        </w:tc>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eastAsia"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default"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eastAsia"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top"/>
              <w:rPr>
                <w:rFonts w:hint="eastAsia" w:ascii="仿宋_GB2312" w:hAnsi="宋体"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12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委托单位名称</w:t>
            </w:r>
          </w:p>
        </w:tc>
        <w:tc>
          <w:tcPr>
            <w:tcW w:w="4657" w:type="dxa"/>
            <w:gridSpan w:val="5"/>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行政强制措施实施数量（宗）</w:t>
            </w:r>
          </w:p>
        </w:tc>
        <w:tc>
          <w:tcPr>
            <w:tcW w:w="6849" w:type="dxa"/>
            <w:gridSpan w:val="9"/>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center"/>
              <w:textAlignment w:val="top"/>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行政强制执行实施数量（宗）</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限制公民人身自由</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查封场所、设施或者财物</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扣押财物</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冻结存款、汇款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其他行政强制措施</w:t>
            </w:r>
          </w:p>
        </w:tc>
        <w:tc>
          <w:tcPr>
            <w:tcW w:w="57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行政机关强制执行</w:t>
            </w:r>
          </w:p>
        </w:tc>
        <w:tc>
          <w:tcPr>
            <w:tcW w:w="109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申请法院强制执行</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加处罚款或者滞纳金</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划拨存款、汇款</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拍卖或者依法处理查封、扣押的场所、设施或者财物</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排除妨碍、恢复原状</w:t>
            </w:r>
          </w:p>
        </w:tc>
        <w:tc>
          <w:tcPr>
            <w:tcW w:w="9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代履行</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其他强制执行方式</w:t>
            </w:r>
          </w:p>
        </w:tc>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22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center"/>
              <w:textAlignment w:val="top"/>
              <w:rPr>
                <w:rFonts w:hint="eastAsia" w:ascii="仿宋_GB2312" w:hAnsi="宋体" w:eastAsia="仿宋_GB2312" w:cs="仿宋_GB2312"/>
                <w:i w:val="0"/>
                <w:color w:val="000000"/>
                <w:sz w:val="24"/>
                <w:szCs w:val="24"/>
                <w:highlight w:val="none"/>
                <w:u w:val="none"/>
                <w:lang w:eastAsia="zh-CN"/>
              </w:rPr>
            </w:pPr>
            <w:r>
              <w:rPr>
                <w:rFonts w:hint="eastAsia" w:ascii="仿宋_GB2312" w:hAnsi="宋体" w:cs="仿宋_GB2312"/>
                <w:i w:val="0"/>
                <w:color w:val="000000"/>
                <w:sz w:val="24"/>
                <w:szCs w:val="24"/>
                <w:highlight w:val="none"/>
                <w:u w:val="none"/>
                <w:lang w:eastAsia="zh-CN"/>
              </w:rPr>
              <w:t>广东省住房和城乡建设厅</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line="360" w:lineRule="exact"/>
              <w:jc w:val="left"/>
              <w:textAlignment w:val="top"/>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cs="仿宋_GB2312"/>
                <w:i w:val="0"/>
                <w:color w:val="000000"/>
                <w:kern w:val="0"/>
                <w:sz w:val="24"/>
                <w:szCs w:val="24"/>
                <w:highlight w:val="none"/>
                <w:u w:val="none"/>
                <w:lang w:val="en-US" w:eastAsia="zh-CN" w:bidi="ar"/>
              </w:rPr>
              <w:t>合计</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93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c>
          <w:tcPr>
            <w:tcW w:w="12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0</w:t>
            </w:r>
          </w:p>
        </w:tc>
      </w:tr>
    </w:tbl>
    <w:p>
      <w:pPr>
        <w:spacing w:line="320" w:lineRule="exact"/>
        <w:ind w:firstLine="480"/>
        <w:rPr>
          <w:rFonts w:hint="eastAsia"/>
          <w:sz w:val="24"/>
          <w:highlight w:val="none"/>
        </w:rPr>
      </w:pPr>
    </w:p>
    <w:p>
      <w:pPr>
        <w:spacing w:line="320" w:lineRule="exact"/>
        <w:ind w:firstLine="482"/>
        <w:rPr>
          <w:rFonts w:hint="eastAsia"/>
          <w:sz w:val="24"/>
          <w:highlight w:val="none"/>
        </w:rPr>
      </w:pPr>
      <w:r>
        <w:rPr>
          <w:rFonts w:hint="eastAsia"/>
          <w:sz w:val="24"/>
          <w:highlight w:val="none"/>
        </w:rPr>
        <w:t>说明：</w:t>
      </w:r>
    </w:p>
    <w:p>
      <w:pPr>
        <w:spacing w:line="320" w:lineRule="exact"/>
        <w:ind w:firstLine="482"/>
        <w:rPr>
          <w:rFonts w:hint="eastAsia"/>
          <w:sz w:val="24"/>
          <w:highlight w:val="none"/>
        </w:rPr>
      </w:pPr>
      <w:r>
        <w:rPr>
          <w:rFonts w:hint="eastAsia"/>
          <w:sz w:val="24"/>
          <w:highlight w:val="none"/>
        </w:rPr>
        <w:t>1. 行政强制措施实施数量的统计范围为统计年度1月1日至12月31日期间作出</w:t>
      </w:r>
      <w:r>
        <w:rPr>
          <w:rFonts w:hint="eastAsia"/>
          <w:sz w:val="24"/>
          <w:highlight w:val="none"/>
          <w:lang w:eastAsia="zh-CN"/>
        </w:rPr>
        <w:t>“</w:t>
      </w:r>
      <w:r>
        <w:rPr>
          <w:rFonts w:hint="eastAsia"/>
          <w:sz w:val="24"/>
          <w:highlight w:val="none"/>
          <w:lang w:val="en-US" w:eastAsia="zh-CN"/>
        </w:rPr>
        <w:t>限制公民人身自由</w:t>
      </w:r>
      <w:r>
        <w:rPr>
          <w:rFonts w:hint="eastAsia"/>
          <w:sz w:val="24"/>
          <w:highlight w:val="none"/>
          <w:lang w:eastAsia="zh-CN"/>
        </w:rPr>
        <w:t>”、</w:t>
      </w:r>
      <w:r>
        <w:rPr>
          <w:rFonts w:hint="eastAsia"/>
          <w:sz w:val="24"/>
          <w:highlight w:val="none"/>
        </w:rPr>
        <w:t>“查封场所、设施或者财物”、“扣押财物”、“冻结存款、汇款”或者“其他行政强制措施”决定的数量。</w:t>
      </w:r>
    </w:p>
    <w:p>
      <w:pPr>
        <w:spacing w:line="320" w:lineRule="exact"/>
        <w:ind w:firstLine="482"/>
        <w:rPr>
          <w:rFonts w:hint="eastAsia"/>
          <w:sz w:val="24"/>
          <w:highlight w:val="none"/>
        </w:rPr>
      </w:pPr>
      <w:r>
        <w:rPr>
          <w:rFonts w:hint="eastAsia"/>
          <w:sz w:val="24"/>
          <w:highlight w:val="none"/>
        </w:rPr>
        <w:t>2. 行政强制执行实施数量的统计范围为统计年度1月1日至12月31日期间“加处罚款或者滞纳金”、“划拨存款、汇款”、“拍卖或者依法处理查封、扣押的场所、设施或者财物”、“排除妨碍、恢复原状”、“代履行”和“其他强制执行方式”等执行完毕或者终结执行的数量。</w:t>
      </w:r>
    </w:p>
    <w:p>
      <w:pPr>
        <w:spacing w:line="320" w:lineRule="exact"/>
        <w:ind w:firstLine="482"/>
        <w:rPr>
          <w:rFonts w:hint="eastAsia"/>
          <w:sz w:val="24"/>
          <w:highlight w:val="none"/>
        </w:rPr>
      </w:pPr>
      <w:r>
        <w:rPr>
          <w:rFonts w:hint="eastAsia"/>
          <w:sz w:val="24"/>
          <w:highlight w:val="none"/>
        </w:rPr>
        <w:t>3. 其他强制执行方式，如《城乡规划法》规定的强制拆除；《煤炭法》规定的强制停产、强制消除安全隐患；《金银管理条例》规定的强制收购；《外汇管理条例》规定的回兑等。</w:t>
      </w:r>
    </w:p>
    <w:p>
      <w:pPr>
        <w:spacing w:line="320" w:lineRule="exact"/>
        <w:ind w:firstLine="482"/>
        <w:rPr>
          <w:rFonts w:hint="eastAsia"/>
          <w:sz w:val="24"/>
          <w:highlight w:val="none"/>
        </w:rPr>
      </w:pPr>
      <w:r>
        <w:rPr>
          <w:rFonts w:hint="eastAsia"/>
          <w:sz w:val="24"/>
          <w:highlight w:val="none"/>
        </w:rPr>
        <w:t>4. 申请法院强制执行数量的统计范围为统计年度1月1日至12月31日期间向法院申请强制执行的数量，时间以申请日期为准。</w:t>
      </w:r>
    </w:p>
    <w:p>
      <w:pPr>
        <w:spacing w:line="600" w:lineRule="exact"/>
        <w:rPr>
          <w:rFonts w:hint="eastAsia"/>
          <w:szCs w:val="32"/>
          <w:highlight w:val="none"/>
        </w:rPr>
      </w:pPr>
      <w:r>
        <w:rPr>
          <w:rFonts w:hint="eastAsia"/>
          <w:sz w:val="24"/>
          <w:highlight w:val="none"/>
        </w:rPr>
        <w:br w:type="page"/>
      </w:r>
      <w:r>
        <w:rPr>
          <w:rFonts w:hint="eastAsia"/>
          <w:szCs w:val="32"/>
          <w:highlight w:val="none"/>
        </w:rPr>
        <w:t>表四</w:t>
      </w:r>
    </w:p>
    <w:p>
      <w:pPr>
        <w:spacing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lang w:eastAsia="zh-CN"/>
        </w:rPr>
        <w:t>江门市住房和城乡建设局</w:t>
      </w:r>
      <w:r>
        <w:rPr>
          <w:rFonts w:hint="eastAsia" w:ascii="方正黑体_GBK" w:hAnsi="方正黑体_GBK" w:eastAsia="方正黑体_GBK" w:cs="方正黑体_GBK"/>
          <w:szCs w:val="32"/>
          <w:highlight w:val="none"/>
          <w:lang w:val="en-US" w:eastAsia="zh-CN"/>
        </w:rPr>
        <w:t>2023</w:t>
      </w:r>
      <w:r>
        <w:rPr>
          <w:rFonts w:hint="eastAsia" w:ascii="方正黑体_GBK" w:hAnsi="方正黑体_GBK" w:eastAsia="方正黑体_GBK" w:cs="方正黑体_GBK"/>
          <w:szCs w:val="32"/>
          <w:highlight w:val="none"/>
        </w:rPr>
        <w:t>年度行政征收实施情况统计表</w:t>
      </w:r>
    </w:p>
    <w:p>
      <w:pPr>
        <w:spacing w:line="480" w:lineRule="exact"/>
        <w:ind w:firstLine="482"/>
        <w:rPr>
          <w:rFonts w:hint="eastAsia"/>
          <w:sz w:val="24"/>
          <w:highlight w:val="none"/>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25"/>
        <w:gridCol w:w="3433"/>
        <w:gridCol w:w="2400"/>
        <w:gridCol w:w="2998"/>
        <w:gridCol w:w="4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34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单位名称</w:t>
            </w:r>
          </w:p>
        </w:tc>
        <w:tc>
          <w:tcPr>
            <w:tcW w:w="53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行政收费</w:t>
            </w:r>
          </w:p>
        </w:tc>
        <w:tc>
          <w:tcPr>
            <w:tcW w:w="43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土地、房屋征收实施数量（宗）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c>
          <w:tcPr>
            <w:tcW w:w="34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实施数量（宗）</w:t>
            </w:r>
          </w:p>
        </w:tc>
        <w:tc>
          <w:tcPr>
            <w:tcW w:w="2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收费总金额（万元）</w:t>
            </w:r>
          </w:p>
        </w:tc>
        <w:tc>
          <w:tcPr>
            <w:tcW w:w="43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3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江门市住房和城乡建设局</w:t>
            </w:r>
          </w:p>
        </w:tc>
        <w:tc>
          <w:tcPr>
            <w:tcW w:w="24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仿宋_GB2312" w:hAnsi="宋体"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0</w:t>
            </w:r>
          </w:p>
        </w:tc>
        <w:tc>
          <w:tcPr>
            <w:tcW w:w="299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仿宋_GB2312" w:hAnsi="宋体"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0</w:t>
            </w:r>
          </w:p>
        </w:tc>
        <w:tc>
          <w:tcPr>
            <w:tcW w:w="4332"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textAlignment w:val="top"/>
              <w:rPr>
                <w:rFonts w:hint="eastAsia" w:ascii="仿宋_GB2312" w:hAnsi="宋体"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34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委托单位名称</w:t>
            </w:r>
          </w:p>
        </w:tc>
        <w:tc>
          <w:tcPr>
            <w:tcW w:w="53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行政收费</w:t>
            </w:r>
          </w:p>
        </w:tc>
        <w:tc>
          <w:tcPr>
            <w:tcW w:w="43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土地、房屋征收实施数量（宗）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c>
          <w:tcPr>
            <w:tcW w:w="34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实施数量（宗）</w:t>
            </w:r>
          </w:p>
        </w:tc>
        <w:tc>
          <w:tcPr>
            <w:tcW w:w="2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收费总金额（万元）</w:t>
            </w:r>
          </w:p>
        </w:tc>
        <w:tc>
          <w:tcPr>
            <w:tcW w:w="43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6"/>
                <w:szCs w:val="2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343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广东省住房和城乡建设厅</w:t>
            </w:r>
          </w:p>
        </w:tc>
        <w:tc>
          <w:tcPr>
            <w:tcW w:w="2400"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2998" w:type="dxa"/>
            <w:tcBorders>
              <w:top w:val="single" w:color="000000" w:sz="4" w:space="0"/>
              <w:left w:val="single" w:color="000000" w:sz="4" w:space="0"/>
              <w:bottom w:val="single" w:color="000000" w:sz="4" w:space="0"/>
              <w:right w:val="single" w:color="000000" w:sz="4" w:space="0"/>
            </w:tcBorders>
          </w:tcPr>
          <w:p>
            <w:pPr>
              <w:jc w:val="center"/>
              <w:rPr>
                <w:rFonts w:hint="default" w:ascii="宋体" w:hAnsi="宋体" w:eastAsia="宋体" w:cs="宋体"/>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4332" w:type="dxa"/>
            <w:tcBorders>
              <w:top w:val="single" w:color="000000" w:sz="4" w:space="0"/>
              <w:left w:val="single" w:color="000000" w:sz="4" w:space="0"/>
              <w:bottom w:val="single" w:color="000000" w:sz="4" w:space="0"/>
              <w:right w:val="single" w:color="000000" w:sz="4" w:space="0"/>
            </w:tcBorders>
          </w:tcPr>
          <w:p>
            <w:pPr>
              <w:jc w:val="center"/>
              <w:rPr>
                <w:rFonts w:hint="default" w:ascii="宋体" w:hAnsi="宋体" w:eastAsia="宋体" w:cs="宋体"/>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6"/>
                <w:szCs w:val="26"/>
                <w:highlight w:val="none"/>
                <w:u w:val="none"/>
                <w:lang w:val="en-US" w:eastAsia="zh-CN" w:bidi="ar"/>
              </w:rPr>
            </w:pPr>
          </w:p>
        </w:tc>
        <w:tc>
          <w:tcPr>
            <w:tcW w:w="343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2998" w:type="dxa"/>
            <w:tcBorders>
              <w:top w:val="single" w:color="000000" w:sz="4" w:space="0"/>
              <w:left w:val="single" w:color="000000" w:sz="4" w:space="0"/>
              <w:bottom w:val="single" w:color="000000" w:sz="4" w:space="0"/>
              <w:right w:val="single" w:color="000000" w:sz="4" w:space="0"/>
            </w:tcBorders>
          </w:tcPr>
          <w:p>
            <w:pPr>
              <w:jc w:val="center"/>
              <w:rPr>
                <w:rFonts w:hint="default" w:ascii="宋体" w:hAnsi="宋体" w:eastAsia="宋体" w:cs="宋体"/>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c>
          <w:tcPr>
            <w:tcW w:w="4332" w:type="dxa"/>
            <w:tcBorders>
              <w:top w:val="single" w:color="000000" w:sz="4" w:space="0"/>
              <w:left w:val="single" w:color="000000" w:sz="4" w:space="0"/>
              <w:bottom w:val="single" w:color="000000" w:sz="4" w:space="0"/>
              <w:right w:val="single" w:color="000000" w:sz="4" w:space="0"/>
            </w:tcBorders>
          </w:tcPr>
          <w:p>
            <w:pPr>
              <w:jc w:val="center"/>
              <w:rPr>
                <w:rFonts w:hint="default" w:ascii="宋体" w:hAnsi="宋体" w:eastAsia="宋体" w:cs="宋体"/>
                <w:i w:val="0"/>
                <w:color w:val="000000"/>
                <w:sz w:val="22"/>
                <w:szCs w:val="22"/>
                <w:highlight w:val="none"/>
                <w:u w:val="none"/>
                <w:lang w:val="en-US" w:eastAsia="zh-CN"/>
              </w:rPr>
            </w:pPr>
            <w:r>
              <w:rPr>
                <w:rFonts w:hint="eastAsia" w:ascii="仿宋_GB2312" w:hAnsi="宋体" w:cs="仿宋_GB2312"/>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42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2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c>
          <w:tcPr>
            <w:tcW w:w="43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r>
    </w:tbl>
    <w:p>
      <w:pPr>
        <w:spacing w:line="360" w:lineRule="exact"/>
        <w:ind w:firstLine="482"/>
        <w:rPr>
          <w:rFonts w:hint="eastAsia"/>
          <w:sz w:val="24"/>
          <w:highlight w:val="none"/>
        </w:rPr>
      </w:pPr>
      <w:r>
        <w:rPr>
          <w:rFonts w:hint="eastAsia"/>
          <w:sz w:val="24"/>
          <w:highlight w:val="none"/>
        </w:rPr>
        <w:t>说明：</w:t>
      </w:r>
    </w:p>
    <w:p>
      <w:pPr>
        <w:spacing w:line="360" w:lineRule="exact"/>
        <w:ind w:firstLine="482"/>
        <w:rPr>
          <w:rFonts w:hint="eastAsia"/>
          <w:sz w:val="24"/>
          <w:highlight w:val="none"/>
        </w:rPr>
      </w:pPr>
      <w:r>
        <w:rPr>
          <w:rFonts w:hint="eastAsia"/>
          <w:sz w:val="24"/>
          <w:highlight w:val="none"/>
        </w:rPr>
        <w:t>1. 行政征收的统计范围为统计年度1月1日至12月31日期间实施的行政收费及土地、房产征收等情况。（因征税属于中央垂直管理，不列入我省统计范围）</w:t>
      </w:r>
    </w:p>
    <w:p>
      <w:pPr>
        <w:spacing w:line="360" w:lineRule="exact"/>
        <w:ind w:firstLine="482"/>
        <w:rPr>
          <w:rFonts w:hint="eastAsia"/>
          <w:sz w:val="24"/>
          <w:highlight w:val="none"/>
        </w:rPr>
      </w:pPr>
      <w:r>
        <w:rPr>
          <w:rFonts w:hint="eastAsia"/>
          <w:sz w:val="24"/>
          <w:highlight w:val="none"/>
        </w:rPr>
        <w:t>2. 土地、房屋征收实施数量的统计，以政府正式批文为准。</w:t>
      </w:r>
    </w:p>
    <w:p>
      <w:pPr>
        <w:spacing w:line="320" w:lineRule="exact"/>
        <w:rPr>
          <w:rFonts w:hint="eastAsia"/>
          <w:szCs w:val="32"/>
          <w:highlight w:val="none"/>
        </w:rPr>
      </w:pPr>
      <w:r>
        <w:rPr>
          <w:rFonts w:hint="eastAsia"/>
          <w:szCs w:val="32"/>
          <w:highlight w:val="none"/>
        </w:rPr>
        <w:br w:type="page"/>
      </w:r>
      <w:r>
        <w:rPr>
          <w:rFonts w:hint="eastAsia"/>
          <w:szCs w:val="32"/>
          <w:highlight w:val="none"/>
        </w:rPr>
        <w:t>表五</w:t>
      </w:r>
    </w:p>
    <w:p>
      <w:pPr>
        <w:spacing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lang w:eastAsia="zh-CN"/>
        </w:rPr>
        <w:t>江门市住房和城乡建设局</w:t>
      </w:r>
      <w:r>
        <w:rPr>
          <w:rFonts w:hint="eastAsia" w:ascii="方正黑体_GBK" w:hAnsi="方正黑体_GBK" w:eastAsia="方正黑体_GBK" w:cs="方正黑体_GBK"/>
          <w:szCs w:val="32"/>
          <w:highlight w:val="none"/>
          <w:lang w:val="en-US" w:eastAsia="zh-CN"/>
        </w:rPr>
        <w:t>2023</w:t>
      </w:r>
      <w:r>
        <w:rPr>
          <w:rFonts w:hint="eastAsia" w:ascii="方正黑体_GBK" w:hAnsi="方正黑体_GBK" w:eastAsia="方正黑体_GBK" w:cs="方正黑体_GBK"/>
          <w:szCs w:val="32"/>
          <w:highlight w:val="none"/>
        </w:rPr>
        <w:t>年度行政征用实施情况统计表</w:t>
      </w:r>
    </w:p>
    <w:p>
      <w:pPr>
        <w:spacing w:line="600" w:lineRule="exact"/>
        <w:jc w:val="center"/>
        <w:rPr>
          <w:rFonts w:hint="eastAsia" w:eastAsia="黑体"/>
          <w:szCs w:val="32"/>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75"/>
        <w:gridCol w:w="4483"/>
        <w:gridCol w:w="5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1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4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单位名称</w:t>
            </w:r>
          </w:p>
        </w:tc>
        <w:tc>
          <w:tcPr>
            <w:tcW w:w="5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行政征用实施数量（宗）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7"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4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江门市住房和城乡建设局</w:t>
            </w:r>
          </w:p>
        </w:tc>
        <w:tc>
          <w:tcPr>
            <w:tcW w:w="5567" w:type="dxa"/>
            <w:tcBorders>
              <w:top w:val="single" w:color="000000" w:sz="4" w:space="0"/>
              <w:left w:val="single" w:color="000000" w:sz="4" w:space="0"/>
              <w:bottom w:val="single" w:color="000000" w:sz="4" w:space="0"/>
              <w:right w:val="single" w:color="000000" w:sz="4" w:space="0"/>
            </w:tcBorders>
          </w:tcPr>
          <w:p>
            <w:pPr>
              <w:jc w:val="center"/>
              <w:rPr>
                <w:rFonts w:hint="eastAsia" w:ascii="Times New Roman" w:hAnsi="Times New Roman" w:eastAsia="宋体" w:cs="Times New Roman"/>
                <w:i w:val="0"/>
                <w:color w:val="000000"/>
                <w:sz w:val="32"/>
                <w:szCs w:val="32"/>
                <w:highlight w:val="none"/>
                <w:u w:val="none"/>
                <w:lang w:val="en-US" w:eastAsia="zh-CN"/>
              </w:rPr>
            </w:pPr>
            <w:r>
              <w:rPr>
                <w:rFonts w:hint="eastAsia" w:ascii="仿宋_GB2312" w:hAnsi="宋体" w:cs="仿宋_GB2312"/>
                <w:i w:val="0"/>
                <w:color w:val="000000"/>
                <w:kern w:val="0"/>
                <w:sz w:val="26"/>
                <w:szCs w:val="26"/>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1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1"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4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委托单位名称</w:t>
            </w:r>
          </w:p>
        </w:tc>
        <w:tc>
          <w:tcPr>
            <w:tcW w:w="5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行政征用实施数量（宗）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448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lang w:eastAsia="zh-CN"/>
              </w:rPr>
            </w:pPr>
            <w:r>
              <w:rPr>
                <w:rFonts w:hint="eastAsia" w:ascii="仿宋_GB2312" w:hAnsi="宋体" w:cs="仿宋_GB2312"/>
                <w:i w:val="0"/>
                <w:color w:val="000000"/>
                <w:sz w:val="26"/>
                <w:szCs w:val="26"/>
                <w:highlight w:val="none"/>
                <w:u w:val="none"/>
                <w:lang w:eastAsia="zh-CN"/>
              </w:rPr>
              <w:t>广东省住房和城乡建设厅</w:t>
            </w:r>
          </w:p>
        </w:tc>
        <w:tc>
          <w:tcPr>
            <w:tcW w:w="556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6"/>
                <w:szCs w:val="26"/>
                <w:highlight w:val="none"/>
                <w:u w:val="none"/>
                <w:lang w:val="en-US" w:eastAsia="zh-CN" w:bidi="ar"/>
              </w:rPr>
            </w:pPr>
          </w:p>
        </w:tc>
        <w:tc>
          <w:tcPr>
            <w:tcW w:w="4483"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合计</w:t>
            </w:r>
          </w:p>
        </w:tc>
        <w:tc>
          <w:tcPr>
            <w:tcW w:w="5567"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宋体"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1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56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5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r>
    </w:tbl>
    <w:p>
      <w:pPr>
        <w:spacing w:line="320" w:lineRule="exact"/>
        <w:rPr>
          <w:rFonts w:hint="eastAsia"/>
          <w:sz w:val="24"/>
          <w:highlight w:val="none"/>
        </w:rPr>
      </w:pPr>
    </w:p>
    <w:p>
      <w:pPr>
        <w:spacing w:line="320" w:lineRule="exact"/>
        <w:ind w:firstLine="482"/>
        <w:rPr>
          <w:rFonts w:hint="eastAsia"/>
          <w:sz w:val="24"/>
          <w:highlight w:val="none"/>
        </w:rPr>
      </w:pPr>
      <w:r>
        <w:rPr>
          <w:rFonts w:hint="eastAsia"/>
          <w:sz w:val="24"/>
          <w:highlight w:val="none"/>
        </w:rPr>
        <w:t>说明：</w:t>
      </w:r>
    </w:p>
    <w:p>
      <w:pPr>
        <w:spacing w:line="320" w:lineRule="exact"/>
        <w:ind w:firstLine="482"/>
        <w:rPr>
          <w:sz w:val="24"/>
          <w:highlight w:val="none"/>
        </w:rPr>
      </w:pPr>
      <w:r>
        <w:rPr>
          <w:rFonts w:hint="eastAsia"/>
          <w:sz w:val="24"/>
          <w:highlight w:val="none"/>
        </w:rPr>
        <w:t>行政征用实施数量的统计范围为统计年度1月1日至12月31日期间因抢险、救灾、反恐等公共利益需要而作出的行政征用决定的数量。</w:t>
      </w:r>
    </w:p>
    <w:p>
      <w:pPr>
        <w:spacing w:line="600" w:lineRule="exact"/>
        <w:rPr>
          <w:rFonts w:hint="eastAsia"/>
          <w:szCs w:val="32"/>
          <w:highlight w:val="none"/>
        </w:rPr>
      </w:pPr>
      <w:r>
        <w:rPr>
          <w:rFonts w:hint="eastAsia"/>
          <w:szCs w:val="32"/>
          <w:highlight w:val="none"/>
        </w:rPr>
        <w:br w:type="page"/>
      </w:r>
      <w:r>
        <w:rPr>
          <w:rFonts w:hint="eastAsia"/>
          <w:szCs w:val="32"/>
          <w:highlight w:val="none"/>
        </w:rPr>
        <w:t>表六</w:t>
      </w:r>
    </w:p>
    <w:p>
      <w:pPr>
        <w:spacing w:after="226" w:afterLines="50" w:line="600" w:lineRule="exact"/>
        <w:jc w:val="center"/>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lang w:eastAsia="zh-CN"/>
        </w:rPr>
        <w:t>江门市住房和城乡建设局</w:t>
      </w:r>
      <w:r>
        <w:rPr>
          <w:rFonts w:hint="eastAsia" w:ascii="方正黑体_GBK" w:hAnsi="方正黑体_GBK" w:eastAsia="方正黑体_GBK" w:cs="方正黑体_GBK"/>
          <w:szCs w:val="32"/>
          <w:highlight w:val="none"/>
          <w:lang w:val="en-US" w:eastAsia="zh-CN"/>
        </w:rPr>
        <w:t>2023</w:t>
      </w:r>
      <w:r>
        <w:rPr>
          <w:rFonts w:hint="eastAsia" w:ascii="方正黑体_GBK" w:hAnsi="方正黑体_GBK" w:eastAsia="方正黑体_GBK" w:cs="方正黑体_GBK"/>
          <w:szCs w:val="32"/>
          <w:highlight w:val="none"/>
        </w:rPr>
        <w:t>年度行政检查实施情况统计表</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8"/>
        <w:gridCol w:w="4717"/>
        <w:gridCol w:w="3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01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（一）本单位实施的、以本单位名义作出的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4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单位名称</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471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lang w:eastAsia="zh-CN"/>
              </w:rPr>
            </w:pPr>
            <w:r>
              <w:rPr>
                <w:rFonts w:hint="eastAsia" w:ascii="仿宋_GB2312" w:hAnsi="宋体" w:cs="仿宋_GB2312"/>
                <w:i w:val="0"/>
                <w:color w:val="000000"/>
                <w:sz w:val="26"/>
                <w:szCs w:val="26"/>
                <w:highlight w:val="none"/>
                <w:u w:val="none"/>
                <w:lang w:eastAsia="zh-CN"/>
              </w:rPr>
              <w:t>江门市住房和城乡建设局</w:t>
            </w:r>
          </w:p>
        </w:tc>
        <w:tc>
          <w:tcPr>
            <w:tcW w:w="3783"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宋体" w:cs="Times New Roman"/>
                <w:i w:val="0"/>
                <w:color w:val="000000"/>
                <w:sz w:val="26"/>
                <w:szCs w:val="26"/>
                <w:highlight w:val="none"/>
                <w:u w:val="none"/>
                <w:lang w:val="en-US" w:eastAsia="zh-CN"/>
              </w:rPr>
            </w:pPr>
            <w:r>
              <w:rPr>
                <w:rFonts w:hint="eastAsia" w:ascii="仿宋_GB2312" w:hAnsi="宋体" w:cs="仿宋_GB2312"/>
                <w:i w:val="0"/>
                <w:color w:val="000000"/>
                <w:sz w:val="26"/>
                <w:szCs w:val="26"/>
                <w:highlight w:val="none"/>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01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（二）本单位受委托实施的、以委托单位名义作出的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序号</w:t>
            </w:r>
          </w:p>
        </w:tc>
        <w:tc>
          <w:tcPr>
            <w:tcW w:w="4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委托单位名称</w:t>
            </w:r>
          </w:p>
        </w:tc>
        <w:tc>
          <w:tcPr>
            <w:tcW w:w="3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行政检查次数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6"/>
                <w:szCs w:val="26"/>
                <w:highlight w:val="none"/>
                <w:u w:val="none"/>
              </w:rPr>
            </w:pPr>
            <w:r>
              <w:rPr>
                <w:rFonts w:hint="eastAsia" w:ascii="仿宋_GB2312" w:hAnsi="宋体" w:eastAsia="仿宋_GB2312" w:cs="仿宋_GB2312"/>
                <w:i w:val="0"/>
                <w:color w:val="000000"/>
                <w:kern w:val="0"/>
                <w:sz w:val="26"/>
                <w:szCs w:val="26"/>
                <w:highlight w:val="none"/>
                <w:u w:val="none"/>
                <w:lang w:val="en-US" w:eastAsia="zh-CN" w:bidi="ar"/>
              </w:rPr>
              <w:t>1</w:t>
            </w:r>
          </w:p>
        </w:tc>
        <w:tc>
          <w:tcPr>
            <w:tcW w:w="47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6"/>
                <w:szCs w:val="26"/>
                <w:highlight w:val="none"/>
                <w:u w:val="none"/>
              </w:rPr>
            </w:pPr>
            <w:r>
              <w:rPr>
                <w:rFonts w:hint="eastAsia" w:ascii="仿宋_GB2312" w:hAnsi="宋体" w:cs="仿宋_GB2312"/>
                <w:i w:val="0"/>
                <w:color w:val="000000"/>
                <w:kern w:val="0"/>
                <w:sz w:val="26"/>
                <w:szCs w:val="26"/>
                <w:highlight w:val="none"/>
                <w:u w:val="none"/>
                <w:lang w:val="en-US" w:eastAsia="zh-CN" w:bidi="ar"/>
              </w:rPr>
              <w:t>广东省住房和城乡建设厅</w:t>
            </w:r>
          </w:p>
        </w:tc>
        <w:tc>
          <w:tcPr>
            <w:tcW w:w="378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6"/>
                <w:szCs w:val="26"/>
                <w:highlight w:val="none"/>
                <w:u w:val="none"/>
                <w:lang w:val="en-US" w:eastAsia="zh-CN" w:bidi="ar"/>
              </w:rPr>
            </w:pPr>
          </w:p>
        </w:tc>
        <w:tc>
          <w:tcPr>
            <w:tcW w:w="471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both"/>
              <w:textAlignment w:val="top"/>
              <w:rPr>
                <w:rFonts w:hint="eastAsia" w:ascii="仿宋_GB2312" w:hAnsi="宋体" w:eastAsia="仿宋_GB2312" w:cs="仿宋_GB2312"/>
                <w:i w:val="0"/>
                <w:color w:val="000000"/>
                <w:kern w:val="0"/>
                <w:sz w:val="26"/>
                <w:szCs w:val="26"/>
                <w:highlight w:val="none"/>
                <w:u w:val="none"/>
                <w:lang w:val="en-US" w:eastAsia="zh-CN" w:bidi="ar"/>
              </w:rPr>
            </w:pPr>
            <w:r>
              <w:rPr>
                <w:rFonts w:hint="eastAsia" w:ascii="仿宋_GB2312" w:hAnsi="宋体" w:cs="仿宋_GB2312"/>
                <w:i w:val="0"/>
                <w:color w:val="000000"/>
                <w:kern w:val="0"/>
                <w:sz w:val="26"/>
                <w:szCs w:val="26"/>
                <w:highlight w:val="none"/>
                <w:u w:val="none"/>
                <w:lang w:val="en-US" w:eastAsia="zh-CN" w:bidi="ar"/>
              </w:rPr>
              <w:t>合计</w:t>
            </w:r>
          </w:p>
        </w:tc>
        <w:tc>
          <w:tcPr>
            <w:tcW w:w="3783"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101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（三）实施情况总计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3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6"/>
                <w:szCs w:val="26"/>
                <w:highlight w:val="none"/>
                <w:u w:val="none"/>
              </w:rPr>
            </w:pPr>
            <w:r>
              <w:rPr>
                <w:rFonts w:hint="eastAsia" w:ascii="黑体" w:hAnsi="宋体" w:eastAsia="黑体" w:cs="黑体"/>
                <w:i w:val="0"/>
                <w:color w:val="000000"/>
                <w:kern w:val="0"/>
                <w:sz w:val="26"/>
                <w:szCs w:val="26"/>
                <w:highlight w:val="none"/>
                <w:u w:val="none"/>
                <w:lang w:val="en-US" w:eastAsia="zh-CN" w:bidi="ar"/>
              </w:rPr>
              <w:t>总计</w:t>
            </w:r>
          </w:p>
        </w:tc>
        <w:tc>
          <w:tcPr>
            <w:tcW w:w="37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28</w:t>
            </w:r>
          </w:p>
        </w:tc>
      </w:tr>
    </w:tbl>
    <w:p>
      <w:pPr>
        <w:spacing w:line="320" w:lineRule="exact"/>
        <w:ind w:firstLine="482"/>
        <w:rPr>
          <w:rFonts w:hint="eastAsia"/>
          <w:sz w:val="24"/>
          <w:highlight w:val="none"/>
        </w:rPr>
      </w:pPr>
    </w:p>
    <w:p>
      <w:pPr>
        <w:spacing w:line="320" w:lineRule="exact"/>
        <w:ind w:firstLine="482"/>
        <w:rPr>
          <w:rFonts w:hint="eastAsia"/>
          <w:sz w:val="24"/>
          <w:highlight w:val="none"/>
        </w:rPr>
      </w:pPr>
      <w:r>
        <w:rPr>
          <w:rFonts w:hint="eastAsia"/>
          <w:sz w:val="24"/>
          <w:highlight w:val="none"/>
        </w:rPr>
        <w:t>说明：</w:t>
      </w:r>
    </w:p>
    <w:p>
      <w:pPr>
        <w:spacing w:line="320" w:lineRule="exact"/>
        <w:ind w:firstLine="482"/>
        <w:rPr>
          <w:rFonts w:hint="eastAsia"/>
          <w:sz w:val="24"/>
          <w:highlight w:val="none"/>
        </w:rPr>
      </w:pPr>
      <w:r>
        <w:rPr>
          <w:rFonts w:hint="eastAsia"/>
          <w:sz w:val="24"/>
          <w:highlight w:val="none"/>
        </w:rPr>
        <w:t>行政检查次数的统计范围为统计年度1月1日至12月31日期间开展行政检查的次数。检查1个检查对象，有完整、详细的检查记录，计为检查1次。无特定检查对象的巡查、巡逻，无完整、详细检查记录，为了确定是否给予行政许可所作的现场勘验、检查等过程性行为、检查后作出行政处罚等其他行政执法行为的，均不计为检查次数。</w:t>
      </w:r>
    </w:p>
    <w:p>
      <w:pPr>
        <w:spacing w:line="600" w:lineRule="exact"/>
        <w:rPr>
          <w:rFonts w:hint="eastAsia"/>
          <w:szCs w:val="32"/>
          <w:highlight w:val="none"/>
        </w:rPr>
        <w:sectPr>
          <w:footerReference r:id="rId5" w:type="default"/>
          <w:footerReference r:id="rId6" w:type="even"/>
          <w:pgSz w:w="16838" w:h="11906" w:orient="landscape"/>
          <w:pgMar w:top="1417" w:right="1417" w:bottom="1417" w:left="1417" w:header="850" w:footer="992" w:gutter="0"/>
          <w:pgNumType w:fmt="decimal"/>
          <w:cols w:space="720" w:num="1"/>
          <w:rtlGutter w:val="0"/>
          <w:docGrid w:type="lines" w:linePitch="453" w:charSpace="0"/>
        </w:sectPr>
      </w:pPr>
    </w:p>
    <w:p>
      <w:pPr>
        <w:spacing w:line="700" w:lineRule="exact"/>
        <w:jc w:val="center"/>
        <w:rPr>
          <w:rFonts w:hint="eastAsia" w:ascii="方正大标宋_GBK" w:hAnsi="方正大标宋_GBK" w:eastAsia="方正大标宋_GBK" w:cs="方正大标宋_GBK"/>
          <w:sz w:val="42"/>
          <w:szCs w:val="42"/>
          <w:highlight w:val="none"/>
        </w:rPr>
      </w:pPr>
      <w:r>
        <w:rPr>
          <w:rFonts w:hint="eastAsia" w:ascii="方正大标宋_GBK" w:hAnsi="方正大标宋_GBK" w:eastAsia="方正大标宋_GBK" w:cs="方正大标宋_GBK"/>
          <w:sz w:val="42"/>
          <w:szCs w:val="42"/>
          <w:highlight w:val="none"/>
        </w:rPr>
        <w:t xml:space="preserve">第二部分  </w:t>
      </w:r>
      <w:r>
        <w:rPr>
          <w:rFonts w:hint="eastAsia" w:ascii="方正大标宋_GBK" w:hAnsi="方正大标宋_GBK" w:eastAsia="方正大标宋_GBK" w:cs="方正大标宋_GBK"/>
          <w:sz w:val="42"/>
          <w:szCs w:val="42"/>
          <w:highlight w:val="none"/>
          <w:lang w:eastAsia="zh-CN"/>
        </w:rPr>
        <w:t>江门市住房和城乡建设局</w:t>
      </w:r>
      <w:r>
        <w:rPr>
          <w:rFonts w:hint="eastAsia" w:ascii="方正大标宋_GBK" w:hAnsi="方正大标宋_GBK" w:eastAsia="方正大标宋_GBK" w:cs="方正大标宋_GBK"/>
          <w:sz w:val="42"/>
          <w:szCs w:val="42"/>
          <w:highlight w:val="none"/>
          <w:lang w:val="en-US" w:eastAsia="zh-CN"/>
        </w:rPr>
        <w:t>2023</w:t>
      </w:r>
      <w:r>
        <w:rPr>
          <w:rFonts w:hint="eastAsia" w:ascii="方正大标宋_GBK" w:hAnsi="方正大标宋_GBK" w:eastAsia="方正大标宋_GBK" w:cs="方正大标宋_GBK"/>
          <w:sz w:val="42"/>
          <w:szCs w:val="42"/>
          <w:highlight w:val="none"/>
        </w:rPr>
        <w:t>年度行政执法情况说明</w:t>
      </w:r>
    </w:p>
    <w:p>
      <w:pPr>
        <w:spacing w:line="600" w:lineRule="exact"/>
        <w:ind w:firstLine="645"/>
        <w:jc w:val="center"/>
        <w:rPr>
          <w:rFonts w:hint="eastAsia"/>
          <w:szCs w:val="32"/>
          <w:highlight w:val="none"/>
        </w:rPr>
      </w:pP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一、行政许可实施情况说明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年度行政许可申请总数为</w:t>
      </w:r>
      <w:r>
        <w:rPr>
          <w:rFonts w:hint="eastAsia" w:ascii="方正仿宋_GBK" w:hAnsi="方正仿宋_GBK" w:eastAsia="方正仿宋_GBK" w:cs="方正仿宋_GBK"/>
          <w:sz w:val="30"/>
          <w:szCs w:val="30"/>
          <w:highlight w:val="none"/>
          <w:lang w:val="en-US" w:eastAsia="zh-CN"/>
        </w:rPr>
        <w:t>355</w:t>
      </w:r>
      <w:r>
        <w:rPr>
          <w:rFonts w:hint="eastAsia" w:ascii="方正仿宋_GBK" w:hAnsi="方正仿宋_GBK" w:eastAsia="方正仿宋_GBK" w:cs="方正仿宋_GBK"/>
          <w:sz w:val="30"/>
          <w:szCs w:val="30"/>
          <w:highlight w:val="none"/>
        </w:rPr>
        <w:t>宗，予以许可</w:t>
      </w:r>
      <w:r>
        <w:rPr>
          <w:rFonts w:hint="eastAsia" w:ascii="方正仿宋_GBK" w:hAnsi="方正仿宋_GBK" w:eastAsia="方正仿宋_GBK" w:cs="方正仿宋_GBK"/>
          <w:sz w:val="30"/>
          <w:szCs w:val="30"/>
          <w:highlight w:val="none"/>
          <w:lang w:val="en-US" w:eastAsia="zh-CN"/>
        </w:rPr>
        <w:t>334</w:t>
      </w:r>
      <w:r>
        <w:rPr>
          <w:rFonts w:hint="eastAsia" w:ascii="方正仿宋_GBK" w:hAnsi="方正仿宋_GBK" w:eastAsia="方正仿宋_GBK" w:cs="方正仿宋_GBK"/>
          <w:sz w:val="30"/>
          <w:szCs w:val="30"/>
          <w:highlight w:val="none"/>
        </w:rPr>
        <w:t>宗。其中：（1）本单位实施的、以本单位名义作出的，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年度行政许可申请数量为</w:t>
      </w:r>
      <w:r>
        <w:rPr>
          <w:rFonts w:hint="eastAsia" w:ascii="方正仿宋_GBK" w:hAnsi="方正仿宋_GBK" w:eastAsia="方正仿宋_GBK" w:cs="方正仿宋_GBK"/>
          <w:sz w:val="30"/>
          <w:szCs w:val="30"/>
          <w:highlight w:val="none"/>
          <w:lang w:val="en-US" w:eastAsia="zh-CN"/>
        </w:rPr>
        <w:t>343</w:t>
      </w:r>
      <w:r>
        <w:rPr>
          <w:rFonts w:hint="eastAsia" w:ascii="方正仿宋_GBK" w:hAnsi="方正仿宋_GBK" w:eastAsia="方正仿宋_GBK" w:cs="方正仿宋_GBK"/>
          <w:sz w:val="30"/>
          <w:szCs w:val="30"/>
          <w:highlight w:val="none"/>
        </w:rPr>
        <w:t>宗，予以许可</w:t>
      </w:r>
      <w:r>
        <w:rPr>
          <w:rFonts w:hint="eastAsia" w:ascii="方正仿宋_GBK" w:hAnsi="方正仿宋_GBK" w:eastAsia="方正仿宋_GBK" w:cs="方正仿宋_GBK"/>
          <w:sz w:val="30"/>
          <w:szCs w:val="30"/>
          <w:highlight w:val="none"/>
          <w:lang w:val="en-US" w:eastAsia="zh-CN"/>
        </w:rPr>
        <w:t>326</w:t>
      </w:r>
      <w:r>
        <w:rPr>
          <w:rFonts w:hint="eastAsia" w:ascii="方正仿宋_GBK" w:hAnsi="方正仿宋_GBK" w:eastAsia="方正仿宋_GBK" w:cs="方正仿宋_GBK"/>
          <w:sz w:val="30"/>
          <w:szCs w:val="30"/>
          <w:highlight w:val="none"/>
        </w:rPr>
        <w:t>宗。（2）受委托实施的、以委托单位名义作出的，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年度行政许可申请数量为</w:t>
      </w:r>
      <w:r>
        <w:rPr>
          <w:rFonts w:hint="eastAsia" w:ascii="方正仿宋_GBK" w:hAnsi="方正仿宋_GBK" w:eastAsia="方正仿宋_GBK" w:cs="方正仿宋_GBK"/>
          <w:sz w:val="30"/>
          <w:szCs w:val="30"/>
          <w:highlight w:val="none"/>
          <w:lang w:val="en-US" w:eastAsia="zh-CN"/>
        </w:rPr>
        <w:t>12</w:t>
      </w:r>
      <w:r>
        <w:rPr>
          <w:rFonts w:hint="eastAsia" w:ascii="方正仿宋_GBK" w:hAnsi="方正仿宋_GBK" w:eastAsia="方正仿宋_GBK" w:cs="方正仿宋_GBK"/>
          <w:sz w:val="30"/>
          <w:szCs w:val="30"/>
          <w:highlight w:val="none"/>
        </w:rPr>
        <w:t>宗，予以许可</w:t>
      </w: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sz w:val="30"/>
          <w:szCs w:val="30"/>
          <w:highlight w:val="none"/>
        </w:rPr>
        <w:t>宗。</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%；行政复议决定履行法定职责、撤销、变更或者确认违法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年度行政许可（含不予受理、予以许可和不予许可）被申请行政复议</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%；行政复议决定履行法定职责、撤销、变更或者确认违法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%；行政复议决定履行法定职责、撤销、变更或者确认违法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年度行政许可（含不予受理、予以许可和不予许可）直接被提起行政诉讼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%；判决履行法定职责、撤销、部分撤销、变更、确认违法或者确认无效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%，占行政许可申请总数的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二、行政处罚实施情况说明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年度行政处罚总数为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宗，罚没金额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元。其中：（1）本单位实施的、以本单位名义作出的行政处罚数量为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宗，罚没金额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元。（2）受委托实施的、以委托单位名义作出的行政处罚数量为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宗，罚没金额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年度行政处罚直接被提起行政诉讼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%，占行政处罚总数的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三、行政强制实施情况说明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年度行政强制总数为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宗。其中：（1）本单位实施的、以本单位名义作出的行政强制</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宗。（2）受委托实施的、以委托单位名义作出的行政强制</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年度行政强制直接被提起行政诉讼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%，占行政强制总数的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四、行政征收实施情况说明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年度行政征收总数为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宗，征收总金额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元。其中：（1）本单位实施的、以本单位名义作出的行政征收数量为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宗，征收金额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元。（2）受委托实施的、以委托单位名义作出的行政征收数量为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宗，征收金额</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元。</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年度行政征收直接被提起行政诉讼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%，占行政征收总数的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五、行政征用实施情况说明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年度行政征用总数为</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宗。其中：（1）本单位实施的、以本单位名义作出的行政征用</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宗。（2）受委托实施的、以委托单位名义作出的行政征用</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%；行政复议决定撤销、变更或者确认违法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bookmarkStart w:id="0" w:name="_GoBack"/>
      <w:bookmarkEnd w:id="0"/>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年度行政征用直接被提起行政诉讼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%；判决撤销、部分撤销、变更、确认违法或者确认无效</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%，占行政征用总数的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六、行政检查实施情况说明</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年度行政检查总数为</w:t>
      </w:r>
      <w:r>
        <w:rPr>
          <w:rFonts w:hint="eastAsia" w:ascii="方正仿宋_GBK" w:hAnsi="方正仿宋_GBK" w:eastAsia="方正仿宋_GBK" w:cs="方正仿宋_GBK"/>
          <w:sz w:val="30"/>
          <w:szCs w:val="30"/>
          <w:highlight w:val="none"/>
          <w:lang w:val="en-US" w:eastAsia="zh-CN"/>
        </w:rPr>
        <w:t>28</w:t>
      </w:r>
      <w:r>
        <w:rPr>
          <w:rFonts w:hint="eastAsia" w:ascii="方正仿宋_GBK" w:hAnsi="方正仿宋_GBK" w:eastAsia="方正仿宋_GBK" w:cs="方正仿宋_GBK"/>
          <w:sz w:val="30"/>
          <w:szCs w:val="30"/>
          <w:highlight w:val="none"/>
        </w:rPr>
        <w:t>次。其中：（1）本单位实施的、以本单位名义作出的行政检查</w:t>
      </w:r>
      <w:r>
        <w:rPr>
          <w:rFonts w:hint="eastAsia" w:ascii="方正仿宋_GBK" w:hAnsi="方正仿宋_GBK" w:eastAsia="方正仿宋_GBK" w:cs="方正仿宋_GBK"/>
          <w:sz w:val="30"/>
          <w:szCs w:val="30"/>
          <w:highlight w:val="none"/>
          <w:lang w:val="en-US" w:eastAsia="zh-CN"/>
        </w:rPr>
        <w:t>28</w:t>
      </w:r>
      <w:r>
        <w:rPr>
          <w:rFonts w:hint="eastAsia" w:ascii="方正仿宋_GBK" w:hAnsi="方正仿宋_GBK" w:eastAsia="方正仿宋_GBK" w:cs="方正仿宋_GBK"/>
          <w:sz w:val="30"/>
          <w:szCs w:val="30"/>
          <w:highlight w:val="none"/>
        </w:rPr>
        <w:t>次。（2）受委托实施的、以委托单位名义作出的行政检查</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次。</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2.（1）</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年度行政检查被申请行政复议</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%；行政复议决定确认违法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宗，占被申请行政复议宗数的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%。其中本单位实施的、以本单位名义作出的，行政复议后又被提起行政诉讼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%。受委托实施的、以委托单位名义作出的，行政复议后又被提起行政诉讼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宗，占行政复议后又被提起行政诉讼宗数的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本单位</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%。其中：（1）本单位实施的、以本单位名义作出的，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%。（2）受委托实施的、以委托单位名义作出的，</w:t>
      </w:r>
      <w:r>
        <w:rPr>
          <w:rFonts w:hint="eastAsia" w:ascii="方正仿宋_GBK" w:hAnsi="方正仿宋_GBK" w:eastAsia="方正仿宋_GBK" w:cs="方正仿宋_GBK"/>
          <w:sz w:val="30"/>
          <w:szCs w:val="30"/>
          <w:highlight w:val="none"/>
          <w:lang w:val="en-US" w:eastAsia="zh-CN"/>
        </w:rPr>
        <w:t>2023</w:t>
      </w:r>
      <w:r>
        <w:rPr>
          <w:rFonts w:hint="eastAsia" w:ascii="方正仿宋_GBK" w:hAnsi="方正仿宋_GBK" w:eastAsia="方正仿宋_GBK" w:cs="方正仿宋_GBK"/>
          <w:sz w:val="30"/>
          <w:szCs w:val="30"/>
          <w:highlight w:val="none"/>
        </w:rPr>
        <w:t>年度行政检查直接被提起行政诉讼</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%；判决确认违法</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宗，占直接被提起行政诉讼宗数的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%，占行政检查总数的</w:t>
      </w:r>
      <w:r>
        <w:rPr>
          <w:rFonts w:hint="eastAsia" w:ascii="方正仿宋_GBK" w:hAnsi="方正仿宋_GBK" w:eastAsia="方正仿宋_GBK" w:cs="方正仿宋_GBK"/>
          <w:sz w:val="30"/>
          <w:szCs w:val="30"/>
          <w:highlight w:val="none"/>
          <w:lang w:val="en-US" w:eastAsia="zh-CN"/>
        </w:rPr>
        <w:t>0</w:t>
      </w:r>
      <w:r>
        <w:rPr>
          <w:rFonts w:hint="eastAsia" w:ascii="方正仿宋_GBK" w:hAnsi="方正仿宋_GBK" w:eastAsia="方正仿宋_GBK" w:cs="方正仿宋_GBK"/>
          <w:sz w:val="30"/>
          <w:szCs w:val="30"/>
          <w:highlight w:val="none"/>
        </w:rPr>
        <w:t>%。</w:t>
      </w:r>
    </w:p>
    <w:p>
      <w:pPr>
        <w:spacing w:line="600" w:lineRule="exact"/>
        <w:rPr>
          <w:rFonts w:hint="eastAsia" w:ascii="方正仿宋_GBK" w:hAnsi="方正仿宋_GBK" w:eastAsia="方正仿宋_GBK" w:cs="方正仿宋_GBK"/>
          <w:sz w:val="30"/>
          <w:szCs w:val="30"/>
          <w:highlight w:val="none"/>
        </w:rPr>
      </w:pPr>
    </w:p>
    <w:p>
      <w:pPr>
        <w:spacing w:line="600" w:lineRule="exact"/>
        <w:ind w:firstLine="645"/>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（注：“被申请行政复议和被提起行政诉讼”数量的统计范围为统计年度1月1日至12月31日期间作出复议决定和生效判决的数量。）</w:t>
      </w:r>
    </w:p>
    <w:p>
      <w:pPr>
        <w:spacing w:line="600" w:lineRule="exact"/>
        <w:rPr>
          <w:rFonts w:hint="eastAsia" w:eastAsia="仿宋" w:cs="仿宋"/>
          <w:highlight w:val="none"/>
          <w:lang w:eastAsia="zh-CN"/>
        </w:rPr>
      </w:pPr>
    </w:p>
    <w:sectPr>
      <w:type w:val="continuous"/>
      <w:pgSz w:w="11906" w:h="16838"/>
      <w:pgMar w:top="1701" w:right="1701" w:bottom="1701" w:left="1701" w:header="0" w:footer="113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center"/>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wordWrap w:val="0"/>
                            <w:jc w:val="center"/>
                          </w:pPr>
                          <w:r>
                            <w:rPr>
                              <w:rFonts w:hint="eastAsia" w:ascii="宋体" w:hAnsi="宋体" w:eastAsia="宋体" w:cs="宋体"/>
                              <w:sz w:val="28"/>
                              <w:szCs w:val="28"/>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fK4nQ7wBAABbAwAADgAAAAAAAAABACAAAAA4&#10;AQAAZHJzL2Uyb0RvYy54bWxQSwUGAAAAAAYABgBZAQAAZgUAAAAA&#10;">
              <v:fill on="f" focussize="0,0"/>
              <v:stroke on="f" weight="1.25pt"/>
              <v:imagedata o:title=""/>
              <o:lock v:ext="edit" aspectratio="f"/>
              <v:textbox inset="0mm,0mm,0mm,0mm" style="mso-fit-shape-to-text:t;">
                <w:txbxContent>
                  <w:p>
                    <w:pPr>
                      <w:wordWrap w:val="0"/>
                      <w:jc w:val="center"/>
                    </w:pPr>
                    <w:r>
                      <w:rPr>
                        <w:rFonts w:hint="eastAsia" w:ascii="宋体" w:hAnsi="宋体" w:eastAsia="宋体" w:cs="宋体"/>
                        <w:sz w:val="28"/>
                        <w:szCs w:val="28"/>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332740"/>
              <wp:effectExtent l="0" t="0" r="0" b="0"/>
              <wp:wrapNone/>
              <wp:docPr id="1" name="文本框 6"/>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noTextEdit="true"/>
                    </wps:cNvSpPr>
                    <wps:spPr>
                      <a:xfrm>
                        <a:off x="0" y="0"/>
                        <a:ext cx="978535" cy="332740"/>
                      </a:xfrm>
                      <a:prstGeom prst="rect">
                        <a:avLst/>
                      </a:prstGeom>
                      <a:noFill/>
                      <a:ln w="15875">
                        <a:noFill/>
                      </a:ln>
                    </wps:spPr>
                    <wps:txbx>
                      <w:txbxContent>
                        <w:p>
                          <w:pPr>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wps:txbx>
                    <wps:bodyPr wrap="none" lIns="0" tIns="0" rIns="0" bIns="0" upright="true">
                      <a:spAutoFit/>
                    </wps:bodyPr>
                  </wps:wsp>
                </a:graphicData>
              </a:graphic>
            </wp:anchor>
          </w:drawing>
        </mc:Choice>
        <mc:Fallback>
          <w:pict>
            <v:shape id="文本框 6" o:spid="_x0000_s1026" o:spt="202" type="#_x0000_t202" style="position:absolute;left:0pt;margin-top:0pt;height:26.2pt;width:77.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bDTC9UAAAAEAQAADwAAAAAAAAABACAAAAA4AAAAZHJzL2Rvd25yZXYueG1sUEsBAhQA&#10;FAAAAAgAh07iQBfAlLXfAQAAmgMAAA4AAAAAAAAAAQAgAAAAOgEAAGRycy9lMm9Eb2MueG1sUEsF&#10;BgAAAAAGAAYAWQEAAIsFAAAAAA==&#10;">
              <v:fill on="f" focussize="0,0"/>
              <v:stroke on="f" weight="1.25pt"/>
              <v:imagedata o:title=""/>
              <o:lock v:ext="edit" text="t" aspectratio="t"/>
              <v:textbox inset="0mm,0mm,0mm,0mm" style="mso-fit-shape-to-text:t;">
                <w:txbxContent>
                  <w:p>
                    <w:pPr>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280" w:firstLineChars="2600"/>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ind w:firstLine="5200" w:firstLineChars="2600"/>
                            <w:rPr>
                              <w:rFonts w:hint="eastAsia" w:ascii="宋体" w:hAnsi="宋体" w:eastAsia="宋体" w:cs="宋体"/>
                              <w:sz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rPr>
                            <w:t>9</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fZLVGLwBAABbAwAADgAAAAAAAAABACAAAAA4&#10;AQAAZHJzL2Uyb0RvYy54bWxQSwUGAAAAAAYABgBZAQAAZgUAAAAA&#10;">
              <v:fill on="f" focussize="0,0"/>
              <v:stroke on="f" weight="1.25pt"/>
              <v:imagedata o:title=""/>
              <o:lock v:ext="edit" aspectratio="f"/>
              <v:textbox inset="0mm,0mm,0mm,0mm" style="mso-fit-shape-to-text:t;">
                <w:txbxContent>
                  <w:p>
                    <w:pPr>
                      <w:pStyle w:val="5"/>
                      <w:ind w:firstLine="5200" w:firstLineChars="2600"/>
                      <w:rPr>
                        <w:rFonts w:hint="eastAsia" w:ascii="宋体" w:hAnsi="宋体" w:eastAsia="宋体" w:cs="宋体"/>
                        <w:sz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rPr>
                      <w:t>9</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332740"/>
              <wp:effectExtent l="0" t="0" r="0" b="0"/>
              <wp:wrapNone/>
              <wp:docPr id="2" name="文本框 8"/>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txBox="true">
                      <a:spLocks noChangeAspect="true" noTextEdit="true"/>
                    </wps:cNvSpPr>
                    <wps:spPr>
                      <a:xfrm>
                        <a:off x="0" y="0"/>
                        <a:ext cx="978535" cy="332740"/>
                      </a:xfrm>
                      <a:prstGeom prst="rect">
                        <a:avLst/>
                      </a:prstGeom>
                      <a:noFill/>
                      <a:ln w="15875">
                        <a:noFill/>
                      </a:ln>
                    </wps:spPr>
                    <wps:txbx>
                      <w:txbxContent>
                        <w:p>
                          <w:pPr>
                            <w:snapToGrid w:val="0"/>
                            <w:rPr>
                              <w:rFonts w:hint="eastAsia" w:ascii="宋体" w:hAnsi="宋体" w:eastAsia="宋体" w:cs="宋体"/>
                              <w:sz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2</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wps:txbx>
                    <wps:bodyPr wrap="none" lIns="0" tIns="0" rIns="0" bIns="0" upright="true">
                      <a:spAutoFit/>
                    </wps:bodyPr>
                  </wps:wsp>
                </a:graphicData>
              </a:graphic>
            </wp:anchor>
          </w:drawing>
        </mc:Choice>
        <mc:Fallback>
          <w:pict>
            <v:shape id="文本框 8" o:spid="_x0000_s1026" o:spt="202" type="#_x0000_t202" style="position:absolute;left:0pt;margin-top:0pt;height:26.2pt;width:77.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Gw0wvVAAAABAEAAA8AAAAAAAAAAQAgAAAAOAAAAGRycy9kb3ducmV2LnhtbFBLAQIU&#10;ABQAAAAIAIdO4kCSjux64AEAAJoDAAAOAAAAAAAAAAEAIAAAADoBAABkcnMvZTJvRG9jLnhtbFBL&#10;BQYAAAAABgAGAFkBAACMBQAAAAA=&#10;">
              <v:fill on="f" focussize="0,0"/>
              <v:stroke on="f" weight="1.25pt"/>
              <v:imagedata o:title=""/>
              <o:lock v:ext="edit" text="t" aspectratio="t"/>
              <v:textbox inset="0mm,0mm,0mm,0mm" style="mso-fit-shape-to-text:t;">
                <w:txbxContent>
                  <w:p>
                    <w:pPr>
                      <w:snapToGrid w:val="0"/>
                      <w:rPr>
                        <w:rFonts w:hint="eastAsia" w:ascii="宋体" w:hAnsi="宋体" w:eastAsia="宋体" w:cs="宋体"/>
                        <w:sz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2</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comments" w:enforcement="0"/>
  <w:defaultTabStop w:val="420"/>
  <w:evenAndOddHeaders w:val="true"/>
  <w:drawingGridHorizontalSpacing w:val="160"/>
  <w:drawingGridVerticalSpacing w:val="226"/>
  <w:displayVerticalDrawingGridEvery w:val="2"/>
  <w:noPunctuationKerning w:val="true"/>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2JiM2JkN2MwMTQ1MDgzMzcxNzYyZDVjNjU5YjEifQ=="/>
  </w:docVars>
  <w:rsids>
    <w:rsidRoot w:val="00511BB0"/>
    <w:rsid w:val="000828E4"/>
    <w:rsid w:val="000B200F"/>
    <w:rsid w:val="000F4065"/>
    <w:rsid w:val="001E2C06"/>
    <w:rsid w:val="0025586B"/>
    <w:rsid w:val="002A7800"/>
    <w:rsid w:val="003E6EEE"/>
    <w:rsid w:val="0041776D"/>
    <w:rsid w:val="004318C9"/>
    <w:rsid w:val="00511BB0"/>
    <w:rsid w:val="005375B3"/>
    <w:rsid w:val="00784BE8"/>
    <w:rsid w:val="00866F0B"/>
    <w:rsid w:val="00890D14"/>
    <w:rsid w:val="008D73DF"/>
    <w:rsid w:val="009009CC"/>
    <w:rsid w:val="00946142"/>
    <w:rsid w:val="0095426A"/>
    <w:rsid w:val="009C635D"/>
    <w:rsid w:val="009E0534"/>
    <w:rsid w:val="00A10A33"/>
    <w:rsid w:val="00A729A3"/>
    <w:rsid w:val="00A90EE9"/>
    <w:rsid w:val="00A93AB2"/>
    <w:rsid w:val="00AB3A34"/>
    <w:rsid w:val="00AE00A3"/>
    <w:rsid w:val="00C80EEF"/>
    <w:rsid w:val="00CB2612"/>
    <w:rsid w:val="00D762D1"/>
    <w:rsid w:val="00DF75D2"/>
    <w:rsid w:val="00E86AD0"/>
    <w:rsid w:val="00F15F01"/>
    <w:rsid w:val="00F76E5E"/>
    <w:rsid w:val="01D61355"/>
    <w:rsid w:val="01D84FF8"/>
    <w:rsid w:val="02BE3D54"/>
    <w:rsid w:val="03DC37B8"/>
    <w:rsid w:val="03EE1864"/>
    <w:rsid w:val="04187F29"/>
    <w:rsid w:val="04280DD9"/>
    <w:rsid w:val="04795CB5"/>
    <w:rsid w:val="05331E9B"/>
    <w:rsid w:val="05513A08"/>
    <w:rsid w:val="05E12770"/>
    <w:rsid w:val="05EA3A7D"/>
    <w:rsid w:val="05F05CBC"/>
    <w:rsid w:val="06E27438"/>
    <w:rsid w:val="096E7D79"/>
    <w:rsid w:val="09AC06CC"/>
    <w:rsid w:val="0A2A4BE6"/>
    <w:rsid w:val="0A3C7E55"/>
    <w:rsid w:val="0AE33CC2"/>
    <w:rsid w:val="0C0D13F8"/>
    <w:rsid w:val="0C8F7815"/>
    <w:rsid w:val="0D5665CA"/>
    <w:rsid w:val="0DA96066"/>
    <w:rsid w:val="0EA43413"/>
    <w:rsid w:val="1018714B"/>
    <w:rsid w:val="10943720"/>
    <w:rsid w:val="11071C9A"/>
    <w:rsid w:val="114D456A"/>
    <w:rsid w:val="12232AC1"/>
    <w:rsid w:val="13F91CE4"/>
    <w:rsid w:val="142305F3"/>
    <w:rsid w:val="14422CD0"/>
    <w:rsid w:val="146052A1"/>
    <w:rsid w:val="1496542B"/>
    <w:rsid w:val="157B4307"/>
    <w:rsid w:val="162C0F6D"/>
    <w:rsid w:val="175305BF"/>
    <w:rsid w:val="176A4479"/>
    <w:rsid w:val="18CD39B7"/>
    <w:rsid w:val="18D41ADE"/>
    <w:rsid w:val="1A8F38D8"/>
    <w:rsid w:val="1B3F566E"/>
    <w:rsid w:val="1B424B5C"/>
    <w:rsid w:val="1B98641A"/>
    <w:rsid w:val="1C3E5AAC"/>
    <w:rsid w:val="1C5716FE"/>
    <w:rsid w:val="1C78587D"/>
    <w:rsid w:val="1C9A7085"/>
    <w:rsid w:val="1D5068A5"/>
    <w:rsid w:val="1E075A79"/>
    <w:rsid w:val="1E6D00A8"/>
    <w:rsid w:val="1E7A2C66"/>
    <w:rsid w:val="1EB773A4"/>
    <w:rsid w:val="1F002D29"/>
    <w:rsid w:val="1F062935"/>
    <w:rsid w:val="20526AF2"/>
    <w:rsid w:val="20CA2BF8"/>
    <w:rsid w:val="20F0799F"/>
    <w:rsid w:val="21612625"/>
    <w:rsid w:val="217D3315"/>
    <w:rsid w:val="2239570D"/>
    <w:rsid w:val="22AB3D87"/>
    <w:rsid w:val="22B708B3"/>
    <w:rsid w:val="234A474B"/>
    <w:rsid w:val="2425381A"/>
    <w:rsid w:val="242E48BB"/>
    <w:rsid w:val="26482BB3"/>
    <w:rsid w:val="268E75A4"/>
    <w:rsid w:val="26FF3696"/>
    <w:rsid w:val="280161EE"/>
    <w:rsid w:val="28283084"/>
    <w:rsid w:val="28500451"/>
    <w:rsid w:val="29861323"/>
    <w:rsid w:val="2A15355D"/>
    <w:rsid w:val="2BD239A2"/>
    <w:rsid w:val="2BF05565"/>
    <w:rsid w:val="2C331047"/>
    <w:rsid w:val="2C910BBF"/>
    <w:rsid w:val="2CF30428"/>
    <w:rsid w:val="2D064D06"/>
    <w:rsid w:val="2DA4395C"/>
    <w:rsid w:val="2DDB6D66"/>
    <w:rsid w:val="2DDC4E2F"/>
    <w:rsid w:val="2ECE6E4C"/>
    <w:rsid w:val="2F4C7B89"/>
    <w:rsid w:val="2F8404A3"/>
    <w:rsid w:val="314C2631"/>
    <w:rsid w:val="32A50187"/>
    <w:rsid w:val="335A1EC9"/>
    <w:rsid w:val="33C874E7"/>
    <w:rsid w:val="34A14151"/>
    <w:rsid w:val="36426882"/>
    <w:rsid w:val="367B5CBA"/>
    <w:rsid w:val="3687233C"/>
    <w:rsid w:val="383FDDE5"/>
    <w:rsid w:val="38A40F7D"/>
    <w:rsid w:val="3914187B"/>
    <w:rsid w:val="3991117C"/>
    <w:rsid w:val="39AA4A7C"/>
    <w:rsid w:val="3A8508BD"/>
    <w:rsid w:val="3B420DCE"/>
    <w:rsid w:val="3B4D43A3"/>
    <w:rsid w:val="3B8677F1"/>
    <w:rsid w:val="3BA8488F"/>
    <w:rsid w:val="3C71567D"/>
    <w:rsid w:val="3CCD63A3"/>
    <w:rsid w:val="3D3879AE"/>
    <w:rsid w:val="3DE54F47"/>
    <w:rsid w:val="3E076D77"/>
    <w:rsid w:val="3E884D09"/>
    <w:rsid w:val="3F9704B6"/>
    <w:rsid w:val="3FC31675"/>
    <w:rsid w:val="414F30B1"/>
    <w:rsid w:val="416A1656"/>
    <w:rsid w:val="41756D94"/>
    <w:rsid w:val="426D60A2"/>
    <w:rsid w:val="43DF63A6"/>
    <w:rsid w:val="4411353D"/>
    <w:rsid w:val="4441668D"/>
    <w:rsid w:val="453407A1"/>
    <w:rsid w:val="45DA2E9A"/>
    <w:rsid w:val="462742C4"/>
    <w:rsid w:val="4661025A"/>
    <w:rsid w:val="47625AFB"/>
    <w:rsid w:val="477F4D3D"/>
    <w:rsid w:val="49E21D83"/>
    <w:rsid w:val="4B2952F1"/>
    <w:rsid w:val="4B7740C0"/>
    <w:rsid w:val="4B7E1AF3"/>
    <w:rsid w:val="4BAE769F"/>
    <w:rsid w:val="4BF90E72"/>
    <w:rsid w:val="4C5F38E3"/>
    <w:rsid w:val="4D7BBA47"/>
    <w:rsid w:val="4DC84393"/>
    <w:rsid w:val="4EB22651"/>
    <w:rsid w:val="4F104019"/>
    <w:rsid w:val="4FC83D37"/>
    <w:rsid w:val="51983835"/>
    <w:rsid w:val="528E0A8E"/>
    <w:rsid w:val="53587BB4"/>
    <w:rsid w:val="538545F7"/>
    <w:rsid w:val="547747E9"/>
    <w:rsid w:val="54D0679D"/>
    <w:rsid w:val="55442389"/>
    <w:rsid w:val="55FC03E6"/>
    <w:rsid w:val="56DF4043"/>
    <w:rsid w:val="5754004A"/>
    <w:rsid w:val="57752090"/>
    <w:rsid w:val="578C7DE8"/>
    <w:rsid w:val="58564C02"/>
    <w:rsid w:val="58810939"/>
    <w:rsid w:val="58C6230A"/>
    <w:rsid w:val="5A2C2427"/>
    <w:rsid w:val="5A6A4AC7"/>
    <w:rsid w:val="5B8C46E7"/>
    <w:rsid w:val="5BA125FA"/>
    <w:rsid w:val="5CA36BDB"/>
    <w:rsid w:val="5D341DC5"/>
    <w:rsid w:val="5D5A35C8"/>
    <w:rsid w:val="5DA7277F"/>
    <w:rsid w:val="5DC90692"/>
    <w:rsid w:val="5DF5DDB3"/>
    <w:rsid w:val="5F1347B4"/>
    <w:rsid w:val="5FBD6661"/>
    <w:rsid w:val="60207503"/>
    <w:rsid w:val="60767DF1"/>
    <w:rsid w:val="60A86A47"/>
    <w:rsid w:val="6229140C"/>
    <w:rsid w:val="625B5904"/>
    <w:rsid w:val="63C60230"/>
    <w:rsid w:val="64793E70"/>
    <w:rsid w:val="64D01854"/>
    <w:rsid w:val="64E84F8F"/>
    <w:rsid w:val="65BB40D7"/>
    <w:rsid w:val="66625128"/>
    <w:rsid w:val="66C45E31"/>
    <w:rsid w:val="675B098B"/>
    <w:rsid w:val="6A5D31E8"/>
    <w:rsid w:val="6B3557A2"/>
    <w:rsid w:val="6C7A6DEC"/>
    <w:rsid w:val="6D665078"/>
    <w:rsid w:val="6EABAF78"/>
    <w:rsid w:val="6F540335"/>
    <w:rsid w:val="704F435B"/>
    <w:rsid w:val="70E85885"/>
    <w:rsid w:val="71093B1E"/>
    <w:rsid w:val="712F4B14"/>
    <w:rsid w:val="71D93D2A"/>
    <w:rsid w:val="71F570A3"/>
    <w:rsid w:val="72DE60EE"/>
    <w:rsid w:val="72F470CD"/>
    <w:rsid w:val="733B2786"/>
    <w:rsid w:val="73813BBA"/>
    <w:rsid w:val="741A0B75"/>
    <w:rsid w:val="7527665A"/>
    <w:rsid w:val="75285D8F"/>
    <w:rsid w:val="757337C8"/>
    <w:rsid w:val="784B56CD"/>
    <w:rsid w:val="790563EA"/>
    <w:rsid w:val="79676EE8"/>
    <w:rsid w:val="796D19DF"/>
    <w:rsid w:val="7A201E00"/>
    <w:rsid w:val="7A5932DB"/>
    <w:rsid w:val="7ADAE828"/>
    <w:rsid w:val="7C2A6CBC"/>
    <w:rsid w:val="7CFF438D"/>
    <w:rsid w:val="7E776F1F"/>
    <w:rsid w:val="7E9F1DBE"/>
    <w:rsid w:val="7F5BF3F6"/>
    <w:rsid w:val="BDDE4598"/>
    <w:rsid w:val="CD9F36AB"/>
    <w:rsid w:val="D757B9B9"/>
    <w:rsid w:val="DE7F4DFF"/>
    <w:rsid w:val="F37D77F4"/>
    <w:rsid w:val="FDCFFA02"/>
    <w:rsid w:val="FDFF4020"/>
    <w:rsid w:val="FE97CEF8"/>
    <w:rsid w:val="FFE9AFB9"/>
    <w:rsid w:val="FFF741EE"/>
    <w:rsid w:val="FFFF0D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8"/>
    <w:qFormat/>
    <w:uiPriority w:val="9"/>
    <w:pPr>
      <w:spacing w:before="100" w:beforeAutospacing="1" w:after="100" w:afterAutospacing="1" w:line="346" w:lineRule="auto"/>
      <w:ind w:left="1" w:firstLine="419"/>
      <w:jc w:val="left"/>
      <w:textAlignment w:val="bottom"/>
      <w:outlineLvl w:val="0"/>
    </w:pPr>
    <w:rPr>
      <w:rFonts w:hint="eastAsia" w:ascii="宋体" w:hAnsi="宋体" w:eastAsia="宋体" w:cs="Times New Roman"/>
      <w:b/>
      <w:kern w:val="44"/>
      <w:sz w:val="48"/>
      <w:szCs w:val="48"/>
    </w:rPr>
  </w:style>
  <w:style w:type="character" w:default="1" w:styleId="13">
    <w:name w:val="Default Paragraph Font"/>
    <w:link w:val="14"/>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Document Map"/>
    <w:basedOn w:val="1"/>
    <w:link w:val="19"/>
    <w:unhideWhenUsed/>
    <w:qFormat/>
    <w:uiPriority w:val="99"/>
    <w:pPr>
      <w:shd w:val="clear" w:color="auto" w:fill="000080"/>
      <w:spacing w:line="346" w:lineRule="auto"/>
      <w:ind w:left="1" w:firstLine="419"/>
      <w:textAlignment w:val="bottom"/>
    </w:pPr>
    <w:rPr>
      <w:rFonts w:ascii="Times New Roman" w:hAnsi="Times New Roman" w:cs="Times New Roman"/>
      <w:kern w:val="0"/>
    </w:rPr>
  </w:style>
  <w:style w:type="paragraph" w:styleId="4">
    <w:name w:val="Body Text"/>
    <w:basedOn w:val="1"/>
    <w:next w:val="5"/>
    <w:unhideWhenUsed/>
    <w:qFormat/>
    <w:uiPriority w:val="99"/>
    <w:pPr>
      <w:jc w:val="center"/>
    </w:pPr>
    <w:rPr>
      <w:rFonts w:ascii="Calibri" w:hAnsi="Calibri" w:eastAsia="宋体" w:cs="Times New Roman"/>
      <w:b/>
      <w:bCs/>
      <w:sz w:val="44"/>
      <w:szCs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800" w:leftChars="800"/>
    </w:pPr>
    <w:rPr>
      <w:rFonts w:ascii="Calibri" w:hAnsi="Calibri" w:eastAsia="宋体" w:cs="Times New Roman"/>
      <w:sz w:val="21"/>
      <w:szCs w:val="24"/>
    </w:rPr>
  </w:style>
  <w:style w:type="paragraph" w:styleId="7">
    <w:name w:val="Body Text Indent"/>
    <w:basedOn w:val="1"/>
    <w:unhideWhenUsed/>
    <w:qFormat/>
    <w:uiPriority w:val="99"/>
    <w:pPr>
      <w:spacing w:after="120"/>
      <w:ind w:left="420" w:leftChars="200"/>
    </w:pPr>
    <w:rPr>
      <w:rFonts w:ascii="Times New Roman" w:hAnsi="Times New Roman" w:eastAsia="宋体" w:cs="Times New Roman"/>
      <w:sz w:val="21"/>
      <w:szCs w:val="22"/>
    </w:rPr>
  </w:style>
  <w:style w:type="paragraph" w:styleId="8">
    <w:name w:val="Balloon Text"/>
    <w:basedOn w:val="1"/>
    <w:link w:val="20"/>
    <w:unhideWhenUsed/>
    <w:qFormat/>
    <w:uiPriority w:val="99"/>
    <w:pPr>
      <w:spacing w:line="240" w:lineRule="auto"/>
      <w:ind w:left="1" w:firstLine="419"/>
      <w:textAlignment w:val="bottom"/>
    </w:pPr>
    <w:rPr>
      <w:rFonts w:ascii="宋体" w:hAnsi="Times New Roman" w:eastAsia="宋体" w:cs="Times New Roman"/>
      <w:kern w:val="0"/>
      <w:sz w:val="18"/>
      <w:szCs w:val="18"/>
    </w:rPr>
  </w:style>
  <w:style w:type="paragraph" w:styleId="9">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nhideWhenUsed/>
    <w:qFormat/>
    <w:uiPriority w:val="99"/>
    <w:pPr>
      <w:spacing w:before="100" w:beforeAutospacing="1" w:after="100" w:afterAutospacing="1" w:line="346" w:lineRule="auto"/>
      <w:ind w:left="0" w:right="0" w:firstLine="419"/>
      <w:jc w:val="left"/>
      <w:textAlignment w:val="bottom"/>
    </w:pPr>
    <w:rPr>
      <w:rFonts w:ascii="Times New Roman" w:hAnsi="Times New Roman" w:cs="Times New Roman"/>
      <w:kern w:val="0"/>
      <w:sz w:val="24"/>
      <w:lang w:val="en-US" w:eastAsia="zh-CN" w:bidi="ar-SA"/>
    </w:rPr>
  </w:style>
  <w:style w:type="paragraph" w:styleId="11">
    <w:name w:val="Body Text First Indent 2"/>
    <w:basedOn w:val="7"/>
    <w:unhideWhenUsed/>
    <w:qFormat/>
    <w:uiPriority w:val="99"/>
    <w:pPr>
      <w:ind w:firstLine="420" w:firstLineChars="200"/>
    </w:pPr>
  </w:style>
  <w:style w:type="paragraph" w:customStyle="1" w:styleId="14">
    <w:name w:val=" Char Char Char Char Char1 Char Char Char Char"/>
    <w:basedOn w:val="1"/>
    <w:link w:val="13"/>
    <w:qFormat/>
    <w:uiPriority w:val="0"/>
    <w:pPr>
      <w:tabs>
        <w:tab w:val="left" w:pos="425"/>
      </w:tabs>
      <w:ind w:left="425" w:hanging="425"/>
    </w:pPr>
  </w:style>
  <w:style w:type="character" w:styleId="15">
    <w:name w:val="page number"/>
    <w:basedOn w:val="13"/>
    <w:qFormat/>
    <w:uiPriority w:val="0"/>
  </w:style>
  <w:style w:type="character" w:styleId="16">
    <w:name w:val="FollowedHyperlink"/>
    <w:basedOn w:val="13"/>
    <w:unhideWhenUsed/>
    <w:qFormat/>
    <w:uiPriority w:val="99"/>
    <w:rPr>
      <w:color w:val="336DA6"/>
      <w:u w:val="none"/>
    </w:rPr>
  </w:style>
  <w:style w:type="character" w:styleId="17">
    <w:name w:val="Hyperlink"/>
    <w:basedOn w:val="13"/>
    <w:qFormat/>
    <w:uiPriority w:val="0"/>
    <w:rPr>
      <w:color w:val="336DA6"/>
      <w:u w:val="none"/>
    </w:rPr>
  </w:style>
  <w:style w:type="character" w:customStyle="1" w:styleId="18">
    <w:name w:val="标题 1 字符"/>
    <w:link w:val="2"/>
    <w:qFormat/>
    <w:uiPriority w:val="0"/>
    <w:rPr>
      <w:rFonts w:ascii="宋体" w:hAnsi="宋体" w:eastAsia="宋体" w:cs="Times New Roman"/>
      <w:b/>
      <w:kern w:val="44"/>
      <w:sz w:val="48"/>
      <w:szCs w:val="48"/>
    </w:rPr>
  </w:style>
  <w:style w:type="character" w:customStyle="1" w:styleId="19">
    <w:name w:val="文档结构图 字符"/>
    <w:link w:val="3"/>
    <w:qFormat/>
    <w:uiPriority w:val="0"/>
    <w:rPr>
      <w:rFonts w:ascii="Times New Roman" w:hAnsi="Times New Roman" w:eastAsia="仿宋_GB2312" w:cs="Times New Roman"/>
      <w:sz w:val="32"/>
      <w:shd w:val="clear" w:color="auto" w:fill="000080"/>
    </w:rPr>
  </w:style>
  <w:style w:type="character" w:customStyle="1" w:styleId="20">
    <w:name w:val="批注框文本 字符"/>
    <w:link w:val="8"/>
    <w:qFormat/>
    <w:uiPriority w:val="0"/>
    <w:rPr>
      <w:rFonts w:ascii="宋体" w:hAnsi="Times New Roman" w:eastAsia="宋体" w:cs="Times New Roman"/>
      <w:sz w:val="18"/>
      <w:szCs w:val="18"/>
    </w:rPr>
  </w:style>
  <w:style w:type="character" w:customStyle="1" w:styleId="21">
    <w:name w:val="页眉 字符"/>
    <w:link w:val="9"/>
    <w:qFormat/>
    <w:uiPriority w:val="0"/>
    <w:rPr>
      <w:rFonts w:ascii="Times New Roman" w:hAnsi="Times New Roman" w:eastAsia="仿宋_GB2312" w:cs="Times New Roman"/>
      <w:sz w:val="18"/>
      <w:szCs w:val="18"/>
    </w:rPr>
  </w:style>
  <w:style w:type="character" w:customStyle="1" w:styleId="22">
    <w:name w:val="font11"/>
    <w:basedOn w:val="13"/>
    <w:qFormat/>
    <w:uiPriority w:val="0"/>
    <w:rPr>
      <w:rFonts w:hint="eastAsia" w:ascii="黑体" w:hAnsi="宋体" w:eastAsia="黑体" w:cs="黑体"/>
      <w:color w:val="000000"/>
      <w:sz w:val="22"/>
      <w:szCs w:val="22"/>
      <w:u w:val="none"/>
    </w:rPr>
  </w:style>
  <w:style w:type="character" w:customStyle="1" w:styleId="23">
    <w:name w:val="tmpztreemove_arrow"/>
    <w:basedOn w:val="13"/>
    <w:qFormat/>
    <w:uiPriority w:val="0"/>
  </w:style>
  <w:style w:type="character" w:customStyle="1" w:styleId="24">
    <w:name w:val="fontstyle01"/>
    <w:basedOn w:val="13"/>
    <w:qFormat/>
    <w:uiPriority w:val="0"/>
    <w:rPr>
      <w:rFonts w:ascii="黑体" w:hAnsi="宋体" w:eastAsia="黑体" w:cs="黑体"/>
      <w:color w:val="000000"/>
      <w:sz w:val="32"/>
      <w:szCs w:val="32"/>
    </w:rPr>
  </w:style>
  <w:style w:type="character" w:customStyle="1" w:styleId="25">
    <w:name w:val="l-open"/>
    <w:basedOn w:val="13"/>
    <w:qFormat/>
    <w:uiPriority w:val="0"/>
  </w:style>
  <w:style w:type="character" w:customStyle="1" w:styleId="26">
    <w:name w:val="folder"/>
    <w:basedOn w:val="13"/>
    <w:qFormat/>
    <w:uiPriority w:val="0"/>
  </w:style>
  <w:style w:type="character" w:customStyle="1" w:styleId="27">
    <w:name w:val="zbutton"/>
    <w:basedOn w:val="13"/>
    <w:qFormat/>
    <w:uiPriority w:val="0"/>
  </w:style>
  <w:style w:type="character" w:customStyle="1" w:styleId="28">
    <w:name w:val="file"/>
    <w:basedOn w:val="13"/>
    <w:qFormat/>
    <w:uiPriority w:val="0"/>
  </w:style>
  <w:style w:type="paragraph" w:customStyle="1" w:styleId="29">
    <w:name w:val="正文 New New New New"/>
    <w:basedOn w:val="1"/>
    <w:qFormat/>
    <w:uiPriority w:val="0"/>
    <w:pPr>
      <w:spacing w:line="240" w:lineRule="auto"/>
      <w:ind w:left="0" w:firstLine="0"/>
      <w:textAlignment w:val="auto"/>
    </w:pPr>
    <w:rPr>
      <w:rFonts w:ascii="Times New Roman" w:hAnsi="Times New Roman" w:eastAsia="宋体" w:cs="Times New Roman"/>
      <w:kern w:val="2"/>
      <w:sz w:val="21"/>
      <w:szCs w:val="21"/>
    </w:rPr>
  </w:style>
  <w:style w:type="paragraph" w:customStyle="1" w:styleId="30">
    <w:name w:val=" Char Char Char"/>
    <w:basedOn w:val="1"/>
    <w:qFormat/>
    <w:uiPriority w:val="0"/>
    <w:pPr>
      <w:widowControl/>
      <w:spacing w:after="160" w:afterLines="0" w:line="240" w:lineRule="exact"/>
      <w:jc w:val="left"/>
    </w:pPr>
  </w:style>
  <w:style w:type="paragraph" w:customStyle="1" w:styleId="31">
    <w:name w:val="正文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paragraph" w:customStyle="1" w:styleId="32">
    <w:name w:val="p0"/>
    <w:basedOn w:val="1"/>
    <w:qFormat/>
    <w:uiPriority w:val="0"/>
    <w:pPr>
      <w:widowControl/>
    </w:pPr>
    <w:rPr>
      <w:kern w:val="0"/>
      <w:szCs w:val="21"/>
    </w:rPr>
  </w:style>
  <w:style w:type="paragraph" w:customStyle="1" w:styleId="33">
    <w:name w:val="正文 New New"/>
    <w:basedOn w:val="1"/>
    <w:qFormat/>
    <w:uiPriority w:val="0"/>
    <w:pPr>
      <w:spacing w:line="240" w:lineRule="auto"/>
      <w:ind w:left="0" w:firstLine="0"/>
      <w:textAlignment w:val="auto"/>
    </w:pPr>
    <w:rPr>
      <w:rFonts w:ascii="Times New Roman" w:hAnsi="Times New Roman" w:eastAsia="宋体" w:cs="Times New Roman"/>
      <w:kern w:val="2"/>
      <w:sz w:val="21"/>
      <w:szCs w:val="21"/>
    </w:rPr>
  </w:style>
  <w:style w:type="paragraph" w:customStyle="1" w:styleId="34">
    <w:name w:val="标题 1 New"/>
    <w:basedOn w:val="35"/>
    <w:next w:val="35"/>
    <w:qFormat/>
    <w:uiPriority w:val="0"/>
    <w:pPr>
      <w:spacing w:before="100" w:beforeAutospacing="1" w:after="100" w:afterAutospacing="1"/>
      <w:jc w:val="left"/>
    </w:pPr>
    <w:rPr>
      <w:rFonts w:hint="eastAsia" w:ascii="宋体" w:hAnsi="宋体"/>
      <w:b/>
      <w:kern w:val="44"/>
      <w:sz w:val="48"/>
      <w:szCs w:val="48"/>
    </w:rPr>
  </w:style>
  <w:style w:type="paragraph" w:customStyle="1" w:styleId="35">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New New"/>
    <w:next w:val="37"/>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37">
    <w:name w:val="Body Text 2"/>
    <w:basedOn w:val="36"/>
    <w:qFormat/>
    <w:uiPriority w:val="0"/>
    <w:pPr>
      <w:spacing w:after="120" w:afterLines="0" w:line="480" w:lineRule="auto"/>
    </w:pPr>
  </w:style>
  <w:style w:type="paragraph" w:customStyle="1" w:styleId="38">
    <w:name w:val="Revision"/>
    <w:unhideWhenUsed/>
    <w:qFormat/>
    <w:uiPriority w:val="99"/>
    <w:rPr>
      <w:rFonts w:ascii="Times New Roman" w:hAnsi="Times New Roman" w:eastAsia="仿宋_GB2312" w:cs="Times New Roman"/>
      <w:sz w:val="32"/>
      <w:lang w:val="en-US" w:eastAsia="zh-CN" w:bidi="ar-SA"/>
    </w:rPr>
  </w:style>
  <w:style w:type="paragraph" w:customStyle="1" w:styleId="39">
    <w:name w:val="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0">
    <w:name w:val="HTML Top of Form"/>
    <w:basedOn w:val="1"/>
    <w:next w:val="1"/>
    <w:qFormat/>
    <w:uiPriority w:val="0"/>
    <w:pPr>
      <w:pBdr>
        <w:bottom w:val="single" w:color="auto" w:sz="6" w:space="1"/>
      </w:pBdr>
      <w:jc w:val="center"/>
    </w:pPr>
    <w:rPr>
      <w:rFonts w:ascii="Arial" w:eastAsia="宋体"/>
      <w:vanish/>
      <w:sz w:val="16"/>
    </w:rPr>
  </w:style>
  <w:style w:type="paragraph" w:customStyle="1" w:styleId="41">
    <w:name w:val=" Char"/>
    <w:basedOn w:val="1"/>
    <w:qFormat/>
    <w:uiPriority w:val="0"/>
    <w:pPr>
      <w:widowControl/>
      <w:spacing w:after="160" w:afterLines="0" w:line="240" w:lineRule="exact"/>
      <w:jc w:val="left"/>
    </w:pPr>
  </w:style>
  <w:style w:type="paragraph" w:customStyle="1" w:styleId="42">
    <w:name w:val="TableOfAuthoring"/>
    <w:basedOn w:val="1"/>
    <w:next w:val="1"/>
    <w:qFormat/>
    <w:uiPriority w:val="0"/>
    <w:pPr>
      <w:ind w:left="420" w:leftChars="200"/>
      <w:jc w:val="both"/>
      <w:textAlignment w:val="baseline"/>
    </w:pPr>
    <w:rPr>
      <w:rFonts w:eastAsia="仿宋_GB2312" w:cs="Times New Roman"/>
      <w:sz w:val="32"/>
      <w:szCs w:val="32"/>
    </w:rPr>
  </w:style>
  <w:style w:type="paragraph" w:customStyle="1" w:styleId="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HTML Bottom of Form"/>
    <w:basedOn w:val="1"/>
    <w:next w:val="1"/>
    <w:qFormat/>
    <w:uiPriority w:val="0"/>
    <w:pPr>
      <w:pBdr>
        <w:top w:val="single" w:color="auto" w:sz="6" w:space="1"/>
      </w:pBdr>
      <w:jc w:val="center"/>
    </w:pPr>
    <w:rPr>
      <w:rFonts w:ascii="Arial" w:eastAsia="宋体"/>
      <w:vanish/>
      <w:sz w:val="16"/>
    </w:rPr>
  </w:style>
  <w:style w:type="paragraph" w:customStyle="1" w:styleId="45">
    <w:name w:val=" Char Char1"/>
    <w:basedOn w:val="1"/>
    <w:qFormat/>
    <w:uiPriority w:val="0"/>
    <w:pPr>
      <w:adjustRightInd w:val="0"/>
      <w:spacing w:line="360" w:lineRule="auto"/>
      <w:ind w:left="1" w:firstLine="419"/>
      <w:textAlignment w:val="bottom"/>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8934</Words>
  <Characters>9992</Characters>
  <Lines>88</Lines>
  <Paragraphs>25</Paragraphs>
  <TotalTime>157258095</TotalTime>
  <ScaleCrop>false</ScaleCrop>
  <LinksUpToDate>false</LinksUpToDate>
  <CharactersWithSpaces>10027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2021-01-01T14:30:00Z</dcterms:created>
  <dc:creator>蒋万斌</dc:creator>
  <cp:lastModifiedBy>GreatWall</cp:lastModifiedBy>
  <cp:lastPrinted>2024-01-31T06:50:00Z</cp:lastPrinted>
  <dcterms:modified xsi:type="dcterms:W3CDTF">2024-01-31T10:00:36Z</dcterms:modified>
  <dc:title>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4677DF313376464681AEE153773432D3</vt:lpwstr>
  </property>
  <property fmtid="{D5CDD505-2E9C-101B-9397-08002B2CF9AE}" pid="3" name="KSOProductBuildVer">
    <vt:lpwstr>2052-11.8.2.9980</vt:lpwstr>
  </property>
</Properties>
</file>