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80" w:lineRule="exact"/>
        <w:textAlignment w:val="auto"/>
        <w:rPr>
          <w:rFonts w:hint="eastAsia" w:ascii="方正仿宋_GBK" w:hAnsi="方正仿宋_GBK" w:eastAsia="方正仿宋_GBK" w:cs="方正仿宋_GBK"/>
          <w:color w:val="auto"/>
          <w:sz w:val="30"/>
          <w:szCs w:val="30"/>
        </w:rPr>
      </w:pPr>
      <w:bookmarkStart w:id="0" w:name="_GoBack"/>
      <w:bookmarkEnd w:id="0"/>
    </w:p>
    <w:p>
      <w:pPr>
        <w:keepNext w:val="0"/>
        <w:keepLines w:val="0"/>
        <w:pageBreakBefore w:val="0"/>
        <w:widowControl w:val="0"/>
        <w:kinsoku/>
        <w:wordWrap/>
        <w:overflowPunct/>
        <w:topLinePunct w:val="0"/>
        <w:autoSpaceDE/>
        <w:autoSpaceDN/>
        <w:bidi w:val="0"/>
        <w:spacing w:after="0" w:line="580" w:lineRule="exact"/>
        <w:ind w:left="0" w:leftChars="0" w:right="-304" w:rightChars="-95"/>
        <w:jc w:val="center"/>
        <w:textAlignment w:val="auto"/>
        <w:rPr>
          <w:rFonts w:hint="eastAsia" w:ascii="方正大标宋_GBK" w:hAnsi="方正大标宋_GBK" w:eastAsia="方正大标宋_GBK" w:cs="方正大标宋_GBK"/>
          <w:color w:val="auto"/>
          <w:spacing w:val="-6"/>
          <w:kern w:val="2"/>
          <w:sz w:val="42"/>
          <w:szCs w:val="42"/>
          <w:lang w:eastAsia="zh-CN"/>
        </w:rPr>
      </w:pPr>
      <w:r>
        <w:rPr>
          <w:rFonts w:hint="eastAsia" w:ascii="方正大标宋_GBK" w:hAnsi="方正大标宋_GBK" w:eastAsia="方正大标宋_GBK" w:cs="方正大标宋_GBK"/>
          <w:color w:val="auto"/>
          <w:spacing w:val="-6"/>
          <w:kern w:val="2"/>
          <w:sz w:val="42"/>
          <w:szCs w:val="42"/>
        </w:rPr>
        <w:t>高层建筑火灾风险</w:t>
      </w:r>
      <w:r>
        <w:rPr>
          <w:rFonts w:hint="eastAsia" w:ascii="方正大标宋_GBK" w:hAnsi="方正大标宋_GBK" w:eastAsia="方正大标宋_GBK" w:cs="方正大标宋_GBK"/>
          <w:color w:val="auto"/>
          <w:spacing w:val="-6"/>
          <w:kern w:val="2"/>
          <w:sz w:val="42"/>
          <w:szCs w:val="42"/>
          <w:lang w:eastAsia="zh-CN"/>
        </w:rPr>
        <w:t>提醒函</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textAlignment w:val="auto"/>
        <w:rPr>
          <w:rFonts w:hint="eastAsia" w:ascii="方正仿宋_GBK" w:hAnsi="方正仿宋_GBK" w:eastAsia="方正仿宋_GBK" w:cs="方正仿宋_GBK"/>
          <w:color w:val="auto"/>
          <w:sz w:val="30"/>
          <w:szCs w:val="30"/>
          <w:u w:val="single"/>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textAlignment w:val="auto"/>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（场所名称）</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lang w:eastAsia="zh-CN"/>
        </w:rPr>
        <w:t>：</w:t>
      </w: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为进一步做好社会面火灾防控工作，根据《中华人民共和国消防法》《广东省实施〈中华人民共和国消防法〉办法》《机关团体企业事业单位消防安全管理规定》《消防安全责任制实施办法》等法律法规及《建筑防火通用规范》（GB55037-2022）等现行消防技术规范，结合我市实际情况，现将高层建筑</w:t>
      </w:r>
      <w:r>
        <w:rPr>
          <w:rFonts w:hint="eastAsia" w:ascii="方正仿宋_GBK" w:hAnsi="方正仿宋_GBK" w:eastAsia="方正仿宋_GBK" w:cs="方正仿宋_GBK"/>
          <w:color w:val="auto"/>
          <w:sz w:val="30"/>
          <w:szCs w:val="30"/>
        </w:rPr>
        <w:t>消防安全</w:t>
      </w:r>
      <w:r>
        <w:rPr>
          <w:rFonts w:hint="eastAsia" w:ascii="方正仿宋_GBK" w:hAnsi="方正仿宋_GBK" w:eastAsia="方正仿宋_GBK" w:cs="方正仿宋_GBK"/>
          <w:color w:val="auto"/>
          <w:sz w:val="30"/>
          <w:szCs w:val="30"/>
          <w:lang w:eastAsia="zh-CN"/>
        </w:rPr>
        <w:t>有关事项告知如下：</w:t>
      </w: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火灾风险提示</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一、火势蔓延快。</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"http://www.so.com/s?q=%E9%AB%98%E5%B1%82%E5%BB%BA%E7%AD%91&amp;ie=utf-8&amp;src=internal_wenda_recommend_textn"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高层建筑</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的</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"http://www.so.com/s?q=%E6%A5%BC%E6%A2%AF%E9%97%B4&amp;ie=utf-8&amp;src=internal_wenda_recommend_textn"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楼梯间</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"http://www.so.com/s?q=%E7%94%B5%E6%A2%AF%E4%BA%95&amp;ie=utf-8&amp;src=internal_wenda_recommend_textn"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电梯井</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"http://www.so.com/s?q=%E7%AE%A1%E9%81%93%E4%BA%95&amp;ie=utf-8&amp;src=internal_wenda_recommend_textn"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管道井</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"http://www.so.com/s?q=%E9%A3%8E%E9%81%93&amp;ie=utf-8&amp;src=internal_wenda_recommend_textn"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风道</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、电缆井等竖向井道多，如果防火分隔处理不好，发生</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"http://www.so.com/s?q=%E7%81%AB%E7%81%BE&amp;ie=utf-8&amp;src=internal_wenda_recommend_textn"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火灾</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时就好像一座座高耸的</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"http://www.so.com/s?q=%E7%83%9F%E5%9B%B1&amp;ie=utf-8&amp;src=internal_wenda_recommend_textn"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烟囱</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，成为火势迅速蔓延的途径，尤其是</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"http://www.so.com/s?q=%E9%AB%98%E7%BA%A7%E5%AE%BE%E9%A6%86&amp;ie=utf-8&amp;src=internal_wenda_recommend_textn"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高级宾馆</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"http://www.so.com/s?q=%E7%BB%BC%E5%90%88%E6%A5%BC&amp;ie=utf-8&amp;src=internal_wenda_recommend_textn"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综合楼</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和图书馆、</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"http://www.so.com/s?q=%E5%8A%9E%E5%85%AC%E6%A5%BC&amp;ie=utf-8&amp;src=internal_wenda_recommend_textn"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办公楼</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等高层建筑，一般</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"http://www.so.com/s?q=%E5%AE%A4%E5%86%85&amp;ie=utf-8&amp;src=internal_wenda_recommend_textn"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室内</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"http://www.so.com/s?q=%E5%8F%AF%E7%87%83%E7%89%A9&amp;ie=utf-8&amp;src=internal_wenda_recommend_textn"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可燃物</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较多，一旦起火，燃烧猛烈，蔓延迅速。</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二、疏散困难。高层建筑的</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"http://www.so.com/s?q=%E7%89%B9%E7%82%B9&amp;ie=utf-8&amp;src=internal_wenda_recommend_textn"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特点</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：一是层数多，垂直距离长，疏散到</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"http://www.so.com/s?q=%E5%9C%B0%E9%9D%A2&amp;ie=utf-8&amp;src=internal_wenda_recommend_textn"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地面</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或其它安全</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"http://www.so.com/s?q=%E5%9C%BA%E6%89%80&amp;ie=utf-8&amp;src=internal_wenda_recommend_textn"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场所</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的时间长</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二是人员集中</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三是发生火灾时由于各</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"http://www.so.com/s?q=%E7%AB%96%E4%BA%95&amp;ie=utf-8&amp;src=internal_wenda_recommend_textn"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竖井</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空气流动畅通，火势和</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"http://www.so.com/s?q=%E7%83%9F%E9%9B%BE&amp;ie=utf-8&amp;src=internal_wenda_recommend_textn"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烟雾</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向上蔓延快，增加了疏散的难度，消防部门的登高</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"http://www.so.com/s?q=%E6%B6%88%E9%98%B2%E8%BD%A6&amp;ie=utf-8&amp;src=internal_wenda_recommend_textn"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消防车</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其高度尚不能满足</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"http://www.so.com/s?q=%E5%AE%89%E5%85%A8%E7%96%8F%E6%95%A3&amp;ie=utf-8&amp;src=internal_wenda_recommend_textn"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安全疏散</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和扑救的需要。普通</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"http://www.so.com/s?q=%E7%94%B5%E6%A2%AF&amp;ie=utf-8&amp;src=internal_wenda_recommend_textn"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电梯</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在火灾时因不防</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"http://www.so.com/s?q=%E7%83%9F%E7%81%AB&amp;ie=utf-8&amp;src=internal_wenda_recommend_textn"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烟火</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或停电等原因而无法使用，因此，多数高层建筑安全疏散主要是靠</w:t>
      </w:r>
      <w:r>
        <w:rPr>
          <w:rFonts w:hint="eastAsia" w:ascii="方正仿宋_GBK" w:hAnsi="方正仿宋_GBK" w:eastAsia="方正仿宋_GBK" w:cs="方正仿宋_GBK"/>
          <w:color w:val="auto"/>
          <w:sz w:val="30"/>
          <w:szCs w:val="30"/>
        </w:rPr>
        <w:fldChar w:fldCharType="begin"/>
      </w:r>
      <w:r>
        <w:rPr>
          <w:rFonts w:hint="eastAsia" w:ascii="方正仿宋_GBK" w:hAnsi="方正仿宋_GBK" w:eastAsia="方正仿宋_GBK" w:cs="方正仿宋_GBK"/>
          <w:color w:val="auto"/>
          <w:sz w:val="30"/>
          <w:szCs w:val="30"/>
        </w:rPr>
        <w:instrText xml:space="preserve"> HYPERLINK "http://www.so.com/s?q=%E6%A5%BC%E6%A2%AF&amp;ie=utf-8&amp;src=internal_wenda_recommend_textn" \t "_blank" </w:instrText>
      </w:r>
      <w:r>
        <w:rPr>
          <w:rFonts w:hint="eastAsia" w:ascii="方正仿宋_GBK" w:hAnsi="方正仿宋_GBK" w:eastAsia="方正仿宋_GBK" w:cs="方正仿宋_GBK"/>
          <w:color w:val="auto"/>
          <w:sz w:val="30"/>
          <w:szCs w:val="30"/>
        </w:rPr>
        <w:fldChar w:fldCharType="separate"/>
      </w:r>
      <w:r>
        <w:rPr>
          <w:rFonts w:hint="eastAsia" w:ascii="方正仿宋_GBK" w:hAnsi="方正仿宋_GBK" w:eastAsia="方正仿宋_GBK" w:cs="方正仿宋_GBK"/>
          <w:color w:val="auto"/>
          <w:sz w:val="30"/>
          <w:szCs w:val="30"/>
        </w:rPr>
        <w:t>楼梯</w:t>
      </w:r>
      <w:r>
        <w:rPr>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color w:val="auto"/>
          <w:sz w:val="30"/>
          <w:szCs w:val="30"/>
        </w:rPr>
        <w:t>，而楼梯间内一旦窜入烟气，就会严重影响疏散。这些，都是高层建筑发生火灾时进行疏散的不利条件。</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扑救难度大。高层建筑高达数十米，甚至达数百米，发生火灾时从室外进行扑救相当困难。一般要立足于自救，即主要靠室内消防设施。但由于高层建筑内部的消防设施还不可能很完善，尤其是二类高层建筑仍以消火栓系统扑救为主，因此，扑救高层建筑火灾往往遇到较大困难。例如:热辐射强、火势蔓延速度、高层建筑的消防用水量不足等。</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val="en-US" w:eastAsia="zh-CN"/>
        </w:rPr>
        <w:t>工作建议：</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物业管理单位应履行消防安全管理的主体责任，依托消防控制室、保安室及建筑使用人建立志愿消防队伍，设置消防执勤点及消防器材存放点，开展防火检查巡查、消防宣传教育，定期维护消防设施，保障疏散通道、安全出口畅通，及时查找消除火灾隐患，扑救初起火灾。</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二、任何单位和个人不得堵塞、占用、封闭消防车通道（楼梯间、疏散通道）或在消防车通道（楼梯间、疏散通道）上设置障碍物，不得埋压、圈占、遮挡消火栓或占用防火间距。</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三、任何单位和个人应自觉维护建筑内部公共消防设施、消防水源，不得损坏、挪用或者擅自拆除、停用消防设施、器材。</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四、高层及其地下建筑内严禁存储易燃易爆物品，建筑底层商业网点应配齐灭火器、消防器材及消防安全提示警示标志等。</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五、高层建筑应专门设置电动车集中充电区域和充电专用设施，严禁在建筑内部私拉乱接电线随意充电；不得在建筑门厅、楼道、过道内存放电动车及充电。</w:t>
      </w:r>
    </w:p>
    <w:p>
      <w:pPr>
        <w:keepNext w:val="0"/>
        <w:keepLines w:val="0"/>
        <w:pageBreakBefore w:val="0"/>
        <w:widowControl w:val="0"/>
        <w:kinsoku/>
        <w:wordWrap/>
        <w:overflowPunct/>
        <w:topLinePunct w:val="0"/>
        <w:autoSpaceDE/>
        <w:autoSpaceDN/>
        <w:bidi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油气管控到位。高层建筑内的油烟管道和燃气管道应按国家消防技术规范要求规范安装，任何单位和个人不得擅自改装管道。燃气管道一律设置紧急切断阀门，并与灭火系统联动，落实专人每日巡查看护机制。</w:t>
      </w:r>
    </w:p>
    <w:p>
      <w:pPr>
        <w:keepNext w:val="0"/>
        <w:keepLines w:val="0"/>
        <w:pageBreakBefore w:val="0"/>
        <w:widowControl w:val="0"/>
        <w:kinsoku/>
        <w:wordWrap/>
        <w:overflowPunct/>
        <w:topLinePunct w:val="0"/>
        <w:autoSpaceDE/>
        <w:autoSpaceDN/>
        <w:bidi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七、电气管控到位。高层建筑内电气线路应选用合格电气产品，每年至少开展一次线路检测，定期更换淘汰老旧线路,安装电气火灾监测系统。所有电气线路一律套金属管保护，设置与设计电流相配套的漏电保护开关，一律不得过负荷使用大功率电气设备。弱电管井内一律不得安装强电设备。</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pacing w:val="-6"/>
          <w:sz w:val="30"/>
          <w:szCs w:val="30"/>
        </w:rPr>
      </w:pPr>
      <w:r>
        <w:rPr>
          <w:rFonts w:hint="eastAsia" w:ascii="方正仿宋_GBK" w:hAnsi="方正仿宋_GBK" w:eastAsia="方正仿宋_GBK" w:cs="方正仿宋_GBK"/>
          <w:color w:val="auto"/>
          <w:sz w:val="30"/>
          <w:szCs w:val="30"/>
        </w:rPr>
        <w:t>八、</w:t>
      </w:r>
      <w:r>
        <w:rPr>
          <w:rFonts w:hint="eastAsia" w:ascii="方正仿宋_GBK" w:hAnsi="方正仿宋_GBK" w:eastAsia="方正仿宋_GBK" w:cs="方正仿宋_GBK"/>
          <w:color w:val="auto"/>
          <w:spacing w:val="-6"/>
          <w:sz w:val="30"/>
          <w:szCs w:val="30"/>
        </w:rPr>
        <w:t>在建高层建筑的建设单位、施工单位、监理单位等应严格落实消防安全防范措施，在施工现场配备必要且充足的消防设施及灭火用水，对施工人员开展经常性的消防宣传教育及演练工作。</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576" w:firstLineChars="200"/>
        <w:textAlignment w:val="auto"/>
        <w:rPr>
          <w:rFonts w:hint="eastAsia" w:ascii="方正仿宋_GBK" w:hAnsi="方正仿宋_GBK" w:eastAsia="方正仿宋_GBK" w:cs="方正仿宋_GBK"/>
          <w:color w:val="auto"/>
          <w:spacing w:val="-6"/>
          <w:sz w:val="30"/>
          <w:szCs w:val="30"/>
        </w:rPr>
      </w:pPr>
      <w:r>
        <w:rPr>
          <w:rFonts w:hint="eastAsia" w:ascii="方正仿宋_GBK" w:hAnsi="方正仿宋_GBK" w:eastAsia="方正仿宋_GBK" w:cs="方正仿宋_GBK"/>
          <w:color w:val="auto"/>
          <w:spacing w:val="-6"/>
          <w:sz w:val="30"/>
          <w:szCs w:val="30"/>
        </w:rPr>
        <w:t>九、高层建筑的使用及管理单位、人员要开展经常性防火、灭火、逃生等消防常识的培训教育。对危害公共消防安全的行为，应及时劝阻、制止或拨打“</w:t>
      </w:r>
      <w:r>
        <w:rPr>
          <w:rFonts w:hint="eastAsia" w:ascii="方正仿宋_GBK" w:hAnsi="方正仿宋_GBK" w:eastAsia="方正仿宋_GBK" w:cs="方正仿宋_GBK"/>
          <w:color w:val="auto"/>
          <w:spacing w:val="-6"/>
          <w:sz w:val="30"/>
          <w:szCs w:val="30"/>
          <w:lang w:eastAsia="zh-CN"/>
        </w:rPr>
        <w:t>12345</w:t>
      </w:r>
      <w:r>
        <w:rPr>
          <w:rFonts w:hint="eastAsia" w:ascii="方正仿宋_GBK" w:hAnsi="方正仿宋_GBK" w:eastAsia="方正仿宋_GBK" w:cs="方正仿宋_GBK"/>
          <w:color w:val="auto"/>
          <w:spacing w:val="-6"/>
          <w:sz w:val="30"/>
          <w:szCs w:val="30"/>
        </w:rPr>
        <w:t>”火灾隐患举报电话进行举报；一旦发生火灾应迅速逃离灾害现场，并及时拨打“119”报警求援。</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特此函告。</w:t>
      </w:r>
    </w:p>
    <w:p>
      <w:pPr>
        <w:pStyle w:val="3"/>
        <w:keepNext w:val="0"/>
        <w:keepLines w:val="0"/>
        <w:pageBreakBefore w:val="0"/>
        <w:widowControl w:val="0"/>
        <w:kinsoku/>
        <w:wordWrap/>
        <w:overflowPunct/>
        <w:topLinePunct w:val="0"/>
        <w:autoSpaceDE/>
        <w:autoSpaceDN/>
        <w:bidi w:val="0"/>
        <w:spacing w:after="0" w:line="580" w:lineRule="exact"/>
        <w:ind w:left="0" w:leftChars="0" w:right="0" w:firstLine="0" w:firstLineChars="0"/>
        <w:textAlignment w:val="auto"/>
        <w:rPr>
          <w:rFonts w:hint="eastAsia" w:ascii="方正仿宋_GBK" w:hAnsi="方正仿宋_GBK" w:eastAsia="方正仿宋_GBK" w:cs="方正仿宋_GBK"/>
          <w:color w:val="auto"/>
          <w:sz w:val="30"/>
          <w:szCs w:val="30"/>
        </w:rPr>
      </w:pPr>
    </w:p>
    <w:p>
      <w:pPr>
        <w:pStyle w:val="3"/>
        <w:keepNext w:val="0"/>
        <w:keepLines w:val="0"/>
        <w:pageBreakBefore w:val="0"/>
        <w:widowControl w:val="0"/>
        <w:kinsoku/>
        <w:wordWrap/>
        <w:overflowPunct/>
        <w:topLinePunct w:val="0"/>
        <w:autoSpaceDE/>
        <w:autoSpaceDN/>
        <w:bidi w:val="0"/>
        <w:spacing w:after="0" w:line="580" w:lineRule="exact"/>
        <w:ind w:left="0" w:leftChars="0" w:right="0" w:firstLine="0" w:firstLineChars="0"/>
        <w:textAlignment w:val="auto"/>
        <w:rPr>
          <w:rFonts w:hint="eastAsia" w:ascii="方正仿宋_GBK" w:hAnsi="方正仿宋_GBK" w:eastAsia="方正仿宋_GBK" w:cs="方正仿宋_GBK"/>
          <w:color w:val="auto"/>
          <w:sz w:val="30"/>
          <w:szCs w:val="30"/>
        </w:rPr>
      </w:pP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jc w:val="center"/>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lang w:eastAsia="zh-CN"/>
        </w:rPr>
        <w:t>江门市消防安全委员会办公室</w:t>
      </w:r>
    </w:p>
    <w:p>
      <w:pPr>
        <w:keepNext w:val="0"/>
        <w:keepLines w:val="0"/>
        <w:pageBreakBefore w:val="0"/>
        <w:widowControl w:val="0"/>
        <w:tabs>
          <w:tab w:val="left" w:pos="6445"/>
        </w:tabs>
        <w:kinsoku/>
        <w:wordWrap/>
        <w:overflowPunct/>
        <w:topLinePunct w:val="0"/>
        <w:autoSpaceDE/>
        <w:autoSpaceDN/>
        <w:bidi w:val="0"/>
        <w:spacing w:after="0" w:line="580" w:lineRule="exact"/>
        <w:ind w:leftChars="0" w:right="0" w:firstLine="645"/>
        <w:jc w:val="lef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lang w:eastAsia="zh-CN"/>
        </w:rPr>
        <w:t>2023年12月25日</w:t>
      </w:r>
    </w:p>
    <w:p>
      <w:pPr>
        <w:keepNext w:val="0"/>
        <w:keepLines w:val="0"/>
        <w:pageBreakBefore w:val="0"/>
        <w:widowControl w:val="0"/>
        <w:kinsoku/>
        <w:wordWrap/>
        <w:overflowPunct/>
        <w:topLinePunct w:val="0"/>
        <w:autoSpaceDE/>
        <w:autoSpaceDN/>
        <w:bidi w:val="0"/>
        <w:spacing w:after="0" w:line="580" w:lineRule="exact"/>
        <w:ind w:left="320" w:leftChars="100" w:right="320" w:rightChars="100"/>
        <w:jc w:val="center"/>
        <w:textAlignment w:val="auto"/>
        <w:rPr>
          <w:rFonts w:hint="eastAsia" w:ascii="方正仿宋_GBK" w:hAnsi="方正仿宋_GBK" w:eastAsia="方正仿宋_GBK" w:cs="方正仿宋_GBK"/>
          <w:color w:val="auto"/>
          <w:spacing w:val="18"/>
          <w:kern w:val="4"/>
          <w:sz w:val="30"/>
          <w:szCs w:val="30"/>
        </w:rPr>
      </w:pPr>
    </w:p>
    <w:p>
      <w:pPr>
        <w:keepNext w:val="0"/>
        <w:keepLines w:val="0"/>
        <w:pageBreakBefore w:val="0"/>
        <w:widowControl w:val="0"/>
        <w:kinsoku/>
        <w:wordWrap/>
        <w:overflowPunct/>
        <w:topLinePunct w:val="0"/>
        <w:autoSpaceDE/>
        <w:autoSpaceDN/>
        <w:bidi w:val="0"/>
        <w:spacing w:after="0" w:line="580" w:lineRule="exact"/>
        <w:ind w:left="0" w:leftChars="0" w:right="-304" w:rightChars="-95"/>
        <w:jc w:val="center"/>
        <w:textAlignment w:val="auto"/>
        <w:rPr>
          <w:rFonts w:hint="eastAsia" w:ascii="方正大标宋_GBK" w:hAnsi="方正大标宋_GBK" w:eastAsia="方正大标宋_GBK" w:cs="方正大标宋_GBK"/>
          <w:color w:val="auto"/>
          <w:spacing w:val="-6"/>
          <w:kern w:val="2"/>
          <w:sz w:val="42"/>
          <w:szCs w:val="42"/>
        </w:rPr>
      </w:pPr>
    </w:p>
    <w:p>
      <w:pPr>
        <w:keepNext w:val="0"/>
        <w:keepLines w:val="0"/>
        <w:pageBreakBefore w:val="0"/>
        <w:widowControl w:val="0"/>
        <w:kinsoku/>
        <w:wordWrap/>
        <w:overflowPunct/>
        <w:topLinePunct w:val="0"/>
        <w:autoSpaceDE/>
        <w:autoSpaceDN/>
        <w:bidi w:val="0"/>
        <w:spacing w:after="0" w:line="580" w:lineRule="exact"/>
        <w:ind w:left="0" w:leftChars="0" w:right="-304" w:rightChars="-95"/>
        <w:jc w:val="center"/>
        <w:textAlignment w:val="auto"/>
        <w:rPr>
          <w:rFonts w:hint="eastAsia" w:ascii="方正大标宋_GBK" w:hAnsi="方正大标宋_GBK" w:eastAsia="方正大标宋_GBK" w:cs="方正大标宋_GBK"/>
          <w:color w:val="auto"/>
          <w:spacing w:val="-6"/>
          <w:kern w:val="2"/>
          <w:sz w:val="42"/>
          <w:szCs w:val="42"/>
        </w:rPr>
      </w:pPr>
    </w:p>
    <w:p>
      <w:pPr>
        <w:keepNext w:val="0"/>
        <w:keepLines w:val="0"/>
        <w:pageBreakBefore w:val="0"/>
        <w:widowControl w:val="0"/>
        <w:kinsoku/>
        <w:wordWrap/>
        <w:overflowPunct/>
        <w:topLinePunct w:val="0"/>
        <w:autoSpaceDE/>
        <w:autoSpaceDN/>
        <w:bidi w:val="0"/>
        <w:spacing w:after="0" w:line="580" w:lineRule="exact"/>
        <w:ind w:left="0" w:leftChars="0" w:right="-304" w:rightChars="-95"/>
        <w:jc w:val="center"/>
        <w:textAlignment w:val="auto"/>
        <w:rPr>
          <w:rFonts w:hint="eastAsia" w:ascii="方正大标宋_GBK" w:hAnsi="方正大标宋_GBK" w:eastAsia="方正大标宋_GBK" w:cs="方正大标宋_GBK"/>
          <w:color w:val="auto"/>
          <w:spacing w:val="-6"/>
          <w:kern w:val="2"/>
          <w:sz w:val="42"/>
          <w:szCs w:val="42"/>
        </w:rPr>
      </w:pPr>
      <w:r>
        <w:rPr>
          <w:rFonts w:hint="eastAsia" w:ascii="方正大标宋_GBK" w:hAnsi="方正大标宋_GBK" w:eastAsia="方正大标宋_GBK" w:cs="方正大标宋_GBK"/>
          <w:color w:val="auto"/>
          <w:spacing w:val="-6"/>
          <w:kern w:val="2"/>
          <w:sz w:val="42"/>
          <w:szCs w:val="42"/>
        </w:rPr>
        <w:t>建设工程火灾风险提示函</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textAlignment w:val="auto"/>
        <w:rPr>
          <w:rFonts w:hint="eastAsia" w:ascii="方正仿宋_GBK" w:hAnsi="方正仿宋_GBK" w:eastAsia="方正仿宋_GBK" w:cs="方正仿宋_GBK"/>
          <w:color w:val="auto"/>
          <w:sz w:val="30"/>
          <w:szCs w:val="30"/>
          <w:u w:val="single"/>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textAlignment w:val="auto"/>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（场所名称）</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lang w:eastAsia="zh-CN"/>
        </w:rPr>
        <w:t>：</w:t>
      </w: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为进一步做好社会面火灾防控工作，根据《中华人民共和国消防法》、《广东省实施〈中华人民共和国消防法〉办法》、《机关团体企业事业单位消防安全管理规定》、《消防安全责任制实施办法》等法律法规及《建筑防火通用规范》（GB55037-2022）等现行消防技术规范，结合我市实际情况，现将建设工程消防安全有关事项告知如下：</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rPr>
        <w:t>火灾风险</w:t>
      </w:r>
      <w:r>
        <w:rPr>
          <w:rFonts w:hint="eastAsia" w:ascii="方正黑体_GBK" w:hAnsi="方正黑体_GBK" w:eastAsia="方正黑体_GBK" w:cs="方正黑体_GBK"/>
          <w:color w:val="auto"/>
          <w:sz w:val="30"/>
          <w:szCs w:val="30"/>
          <w:lang w:eastAsia="zh-CN"/>
        </w:rPr>
        <w:t>提示：</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施工现场违规留宿人员，吸烟人员多、乱扔烟头，现场堆放大量木板、纸箱、聚氨酯泡沫等建筑和生活垃圾，容易引发火灾。</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私拉乱接电气线路，违规使用大功率用电器具，违规存放液化石油气罐。</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现场安全管理不严格，施工人员违规动用明火、违规焊接等，缺乏有效监护措施。</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w:t>
      </w:r>
      <w:r>
        <w:rPr>
          <w:rFonts w:hint="eastAsia" w:ascii="方正仿宋_GBK" w:hAnsi="方正仿宋_GBK" w:eastAsia="方正仿宋_GBK" w:cs="方正仿宋_GBK"/>
          <w:color w:val="auto"/>
          <w:sz w:val="30"/>
          <w:szCs w:val="30"/>
          <w:lang w:eastAsia="zh-CN"/>
        </w:rPr>
        <w:t>、消防设施设置管理不完善。</w:t>
      </w:r>
      <w:r>
        <w:rPr>
          <w:rFonts w:hint="eastAsia" w:ascii="方正仿宋_GBK" w:hAnsi="方正仿宋_GBK" w:eastAsia="方正仿宋_GBK" w:cs="方正仿宋_GBK"/>
          <w:color w:val="auto"/>
          <w:sz w:val="30"/>
          <w:szCs w:val="30"/>
        </w:rPr>
        <w:t>有的因施工需要擅自停用、占用甚至拆除报警、灭火等消防设施，一旦发生火灾，难以及时有效扑救。</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rPr>
        <w:t>工作建议</w:t>
      </w:r>
      <w:r>
        <w:rPr>
          <w:rFonts w:hint="eastAsia" w:ascii="方正黑体_GBK" w:hAnsi="方正黑体_GBK" w:eastAsia="方正黑体_GBK" w:cs="方正黑体_GBK"/>
          <w:color w:val="auto"/>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法定代表人或者主要负责人是建设工程施工现场消防安全管理工作的第一负责人。单位内部要明确专门的安全管理人和安全管理部门，明确消防安全管理工作职责，建立逐级岗位责任制，落实各项消防安全管理。</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施工现场使用的安全网、围网和保温材料应当使用不燃或者难燃材料。施工现场的外墙保温应按照《民用建筑外保温系统及外墙装饰防火暂行规定》中的要求实施。</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建设工程内不准存放易燃易爆化学危险品和易燃可燃材料，对易燃易爆化学危险物品和压缩可燃气体容器等，应当按其性质设置专用库房分类存放，施工中使用易燃易爆化学危险物品时，应当制订防火安全措施；不得在作业场所分装、调料；不得在建设工程内使用液化石油气；使用后的废弃易燃易爆化学危险物料应当及时清除。</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施工单位应当建立健全用火管理制度。施工作业用火时，应当经施工现场防火负责人审查批准，领取用火证后，方可在指定的地点、时间内作业。施工现场内禁止吸烟。</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施工单位应当建立健全用电管理制度，并采取防火措施。安装电气设备和进行电焊、气焊作业等，必须由经培训合格的专业技术人员操作。</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施工单位不得在建设工程内设置宿舍。在建设工程外设置宿舍的，禁止使用夹心泡沫彩钢板等可燃材料做分隔和使用电热器具。设置的应急照明和疏散指示标志应当符合有关消防安全的要求。</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七</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施工单位应当在施工现场设置临时消防车道，并保证临时消防车道的畅通。禁止在临时消防车道上堆物、堆料或者挤占临时消防车道。</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八</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施工单位应当在施工现场配置消防器材，设置临时消防给水系统。在正式消防给水系统投入使用前，不得拆除或者停用临时消防竖管。</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九</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施工现场内部及周边显著位置必须张贴烟花爆竹禁放标示。</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十</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对于建设工程施工单位未履行消防安全责任，或者违反规定在尚未竣工的建筑物内设置员工集体宿舍的，一经发现，处五千元以上二万元以下罚款；情节严重的，处二万元以上五万元以下罚款，并处责令停止施工。</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公民发现火灾隐患和消防安全违法行为，可拨打“</w:t>
      </w:r>
      <w:r>
        <w:rPr>
          <w:rFonts w:hint="eastAsia" w:ascii="方正仿宋_GBK" w:hAnsi="方正仿宋_GBK" w:eastAsia="方正仿宋_GBK" w:cs="方正仿宋_GBK"/>
          <w:color w:val="auto"/>
          <w:sz w:val="30"/>
          <w:szCs w:val="30"/>
          <w:lang w:eastAsia="zh-CN"/>
        </w:rPr>
        <w:t>12345</w:t>
      </w:r>
      <w:r>
        <w:rPr>
          <w:rFonts w:hint="eastAsia" w:ascii="方正仿宋_GBK" w:hAnsi="方正仿宋_GBK" w:eastAsia="方正仿宋_GBK" w:cs="方正仿宋_GBK"/>
          <w:color w:val="auto"/>
          <w:sz w:val="30"/>
          <w:szCs w:val="30"/>
        </w:rPr>
        <w:t>”举报电话或者通过有效途径，向消防机构举报。对违反国家法律法规，危害公共安全的行为，相关部门将依法予以行政处罚；构成犯罪的，依法追究刑事责任。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特此函告。</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textAlignment w:val="auto"/>
        <w:rPr>
          <w:rFonts w:hint="eastAsia" w:ascii="方正仿宋_GBK" w:hAnsi="方正仿宋_GBK" w:eastAsia="方正仿宋_GBK" w:cs="方正仿宋_GBK"/>
          <w:color w:val="auto"/>
          <w:sz w:val="30"/>
          <w:szCs w:val="30"/>
          <w:lang w:val="en-US" w:eastAsia="zh-CN"/>
        </w:rPr>
      </w:pP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jc w:val="center"/>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 xml:space="preserve">                   </w:t>
      </w: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jc w:val="center"/>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lang w:eastAsia="zh-CN"/>
        </w:rPr>
        <w:t xml:space="preserve">  江门市消防安全委员会办公室</w:t>
      </w:r>
    </w:p>
    <w:p>
      <w:pPr>
        <w:pStyle w:val="4"/>
        <w:keepNext w:val="0"/>
        <w:keepLines w:val="0"/>
        <w:pageBreakBefore w:val="0"/>
        <w:widowControl w:val="0"/>
        <w:kinsoku/>
        <w:wordWrap/>
        <w:overflowPunct/>
        <w:topLinePunct w:val="0"/>
        <w:autoSpaceDE/>
        <w:autoSpaceDN/>
        <w:bidi w:val="0"/>
        <w:spacing w:after="0" w:line="580" w:lineRule="exact"/>
        <w:ind w:leftChars="0" w:right="0" w:firstLine="600" w:firstLineChars="200"/>
        <w:jc w:val="center"/>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 xml:space="preserve">                     2023年12月25日</w:t>
      </w:r>
    </w:p>
    <w:p>
      <w:pPr>
        <w:pStyle w:val="4"/>
        <w:keepNext w:val="0"/>
        <w:keepLines w:val="0"/>
        <w:pageBreakBefore w:val="0"/>
        <w:widowControl w:val="0"/>
        <w:kinsoku/>
        <w:wordWrap/>
        <w:overflowPunct/>
        <w:topLinePunct w:val="0"/>
        <w:autoSpaceDE/>
        <w:autoSpaceDN/>
        <w:bidi w:val="0"/>
        <w:spacing w:after="0" w:line="580" w:lineRule="exact"/>
        <w:ind w:right="640" w:firstLine="600" w:firstLineChars="200"/>
        <w:jc w:val="center"/>
        <w:textAlignment w:val="auto"/>
        <w:rPr>
          <w:rFonts w:hint="eastAsia" w:ascii="方正仿宋_GBK" w:hAnsi="方正仿宋_GBK" w:eastAsia="方正仿宋_GBK" w:cs="方正仿宋_GBK"/>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after="0" w:line="580" w:lineRule="exact"/>
        <w:textAlignment w:val="auto"/>
        <w:outlineLvl w:val="9"/>
        <w:rPr>
          <w:rFonts w:hint="eastAsia" w:ascii="方正仿宋_GBK" w:hAnsi="方正仿宋_GBK" w:eastAsia="方正仿宋_GBK" w:cs="方正仿宋_GBK"/>
          <w:color w:val="auto"/>
          <w:sz w:val="30"/>
          <w:szCs w:val="30"/>
          <w:lang w:eastAsia="zh-CN"/>
        </w:rPr>
      </w:pPr>
    </w:p>
    <w:sectPr>
      <w:footerReference r:id="rId5" w:type="default"/>
      <w:pgSz w:w="11906" w:h="16838"/>
      <w:pgMar w:top="1701" w:right="1701" w:bottom="1701" w:left="1701" w:header="0"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TUyN2UxYjZhNmYxYTRmYzQ3YmFhMWE5NWExYTMifQ=="/>
  </w:docVars>
  <w:rsids>
    <w:rsidRoot w:val="1F615969"/>
    <w:rsid w:val="1F615969"/>
    <w:rsid w:val="27F14C26"/>
    <w:rsid w:val="37EE6753"/>
    <w:rsid w:val="6DDB3E32"/>
    <w:rsid w:val="70711485"/>
    <w:rsid w:val="7BE7BE7A"/>
    <w:rsid w:val="7E26AF9E"/>
    <w:rsid w:val="A5730975"/>
    <w:rsid w:val="ABAD7BFF"/>
    <w:rsid w:val="ABDFF4D1"/>
    <w:rsid w:val="C7F2722A"/>
    <w:rsid w:val="DEA1C9B0"/>
    <w:rsid w:val="F7FD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35"/>
    </w:pPr>
    <w:rPr>
      <w:rFonts w:ascii="仿宋_GB2312"/>
      <w:szCs w:val="20"/>
    </w:rPr>
  </w:style>
  <w:style w:type="paragraph" w:styleId="3">
    <w:name w:val="Body Text First Indent 2"/>
    <w:basedOn w:val="2"/>
    <w:qFormat/>
    <w:uiPriority w:val="0"/>
    <w:pPr>
      <w:ind w:firstLine="420" w:firstLineChars="200"/>
    </w:p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2023-12-28T13:35:00Z</dcterms:created>
  <dc:creator>老藤椅</dc:creator>
  <cp:lastModifiedBy>吕学成</cp:lastModifiedBy>
  <cp:lastPrinted>2024-01-03T02:15:00Z</cp:lastPrinted>
  <dcterms:modified xsi:type="dcterms:W3CDTF">2024-01-02T17:14:15Z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800D61B94FDBF222E7D39365FB34AAC9</vt:lpwstr>
  </property>
  <property fmtid="{D5CDD505-2E9C-101B-9397-08002B2CF9AE}" pid="3" name="KSOProductBuildVer">
    <vt:lpwstr>2052-11.8.2.11961</vt:lpwstr>
  </property>
</Properties>
</file>