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0" w:afterAutospacing="0" w:line="240" w:lineRule="auto"/>
        <w:ind w:right="0"/>
        <w:jc w:val="center"/>
        <w:textAlignment w:val="auto"/>
        <w:rPr>
          <w:rFonts w:hint="eastAsia" w:ascii="宋体" w:hAnsi="宋体" w:eastAsia="宋体" w:cs="宋体"/>
          <w:b/>
          <w:bCs/>
          <w:color w:val="auto"/>
          <w:kern w:val="2"/>
          <w:sz w:val="32"/>
          <w:szCs w:val="32"/>
          <w:lang w:val="en-US" w:eastAsia="zh-CN" w:bidi="zh-CN"/>
        </w:rPr>
      </w:pPr>
      <w:r>
        <w:rPr>
          <w:rFonts w:hint="eastAsia" w:ascii="宋体" w:hAnsi="宋体" w:eastAsia="宋体" w:cs="宋体"/>
          <w:b/>
          <w:bCs/>
          <w:color w:val="auto"/>
          <w:kern w:val="2"/>
          <w:sz w:val="32"/>
          <w:szCs w:val="32"/>
          <w:lang w:val="en-US" w:eastAsia="zh-CN" w:bidi="zh-CN"/>
        </w:rPr>
        <w:t>评分表</w:t>
      </w:r>
    </w:p>
    <w:tbl>
      <w:tblPr>
        <w:tblStyle w:val="11"/>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44"/>
        <w:gridCol w:w="134"/>
        <w:gridCol w:w="5669"/>
        <w:gridCol w:w="983"/>
        <w:gridCol w:w="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序号</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评审因素</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评分细则</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得分</w:t>
            </w:r>
          </w:p>
          <w:p>
            <w:pPr>
              <w:keepNext w:val="0"/>
              <w:keepLines w:val="0"/>
              <w:pageBreakBefore w:val="0"/>
              <w:kinsoku/>
              <w:wordWrap/>
              <w:overflowPunct/>
              <w:topLinePunct w:val="0"/>
              <w:autoSpaceDE w:val="0"/>
              <w:autoSpaceDN w:val="0"/>
              <w:bidi w:val="0"/>
              <w:adjustRightInd w:val="0"/>
              <w:snapToGrid w:val="0"/>
              <w:spacing w:line="560" w:lineRule="exact"/>
              <w:ind w:right="-73" w:rightChars="-35"/>
              <w:jc w:val="both"/>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（分）</w:t>
            </w: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权重</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一、技术部分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rPr>
              <w:t>60</w:t>
            </w:r>
            <w:r>
              <w:rPr>
                <w:rFonts w:ascii="仿宋" w:hAnsi="仿宋" w:eastAsia="仿宋" w:cs="Arial Unicode MS"/>
                <w:b/>
                <w:color w:val="auto"/>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（一）</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技术方案</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对项目要求分析准确，具体方案全面、详细合理；服务实施流程科学、可行、</w:t>
            </w:r>
            <w:r>
              <w:rPr>
                <w:rFonts w:hint="eastAsia" w:ascii="仿宋" w:hAnsi="仿宋" w:eastAsia="仿宋" w:cs="Arial Unicode MS"/>
                <w:color w:val="auto"/>
                <w:kern w:val="0"/>
                <w:sz w:val="24"/>
                <w:szCs w:val="24"/>
              </w:rPr>
              <w:t>完全</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，得6分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准确，具体方案较全面、较合理；服务实施流程</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可行、满足用户需求</w:t>
            </w:r>
            <w:r>
              <w:rPr>
                <w:rFonts w:hint="eastAsia" w:ascii="仿宋" w:hAnsi="仿宋" w:eastAsia="仿宋" w:cs="Arial Unicode MS"/>
                <w:color w:val="auto"/>
                <w:kern w:val="0"/>
                <w:sz w:val="24"/>
                <w:szCs w:val="24"/>
              </w:rPr>
              <w:t>，得4分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对项目要求分析基本准确，具体方案</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全面、合理；服务实施流程</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可行、</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，得2分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对项目要求分析一般，具体方案</w:t>
            </w:r>
            <w:r>
              <w:rPr>
                <w:rFonts w:hint="eastAsia" w:ascii="仿宋" w:hAnsi="仿宋" w:eastAsia="仿宋" w:cs="Arial Unicode MS"/>
                <w:color w:val="auto"/>
                <w:kern w:val="0"/>
                <w:sz w:val="24"/>
                <w:szCs w:val="24"/>
              </w:rPr>
              <w:t>不够全面、</w:t>
            </w:r>
            <w:r>
              <w:rPr>
                <w:rFonts w:ascii="仿宋" w:hAnsi="仿宋" w:eastAsia="仿宋" w:cs="Arial Unicode MS"/>
                <w:color w:val="auto"/>
                <w:kern w:val="0"/>
                <w:sz w:val="24"/>
                <w:szCs w:val="24"/>
              </w:rPr>
              <w:t>合理；服务实施流程</w:t>
            </w:r>
            <w:r>
              <w:rPr>
                <w:rFonts w:hint="eastAsia" w:ascii="仿宋" w:hAnsi="仿宋" w:eastAsia="仿宋" w:cs="Arial Unicode MS"/>
                <w:color w:val="auto"/>
                <w:kern w:val="0"/>
                <w:sz w:val="24"/>
                <w:szCs w:val="24"/>
              </w:rPr>
              <w:t>有一定可行性、</w:t>
            </w:r>
            <w:r>
              <w:rPr>
                <w:rFonts w:ascii="仿宋" w:hAnsi="仿宋" w:eastAsia="仿宋" w:cs="Arial Unicode MS"/>
                <w:color w:val="auto"/>
                <w:kern w:val="0"/>
                <w:sz w:val="24"/>
                <w:szCs w:val="24"/>
              </w:rPr>
              <w:t>基本满足用户需求</w:t>
            </w:r>
            <w:r>
              <w:rPr>
                <w:rFonts w:hint="eastAsia" w:ascii="仿宋" w:hAnsi="仿宋" w:eastAsia="仿宋" w:cs="Arial Unicode MS"/>
                <w:color w:val="auto"/>
                <w:kern w:val="0"/>
                <w:sz w:val="24"/>
                <w:szCs w:val="24"/>
              </w:rPr>
              <w:t>，得1分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对项目要求分析不准确，</w:t>
            </w:r>
            <w:r>
              <w:rPr>
                <w:rFonts w:ascii="仿宋" w:hAnsi="仿宋" w:eastAsia="仿宋" w:cs="Arial Unicode MS"/>
                <w:color w:val="auto"/>
                <w:kern w:val="0"/>
                <w:sz w:val="24"/>
                <w:szCs w:val="24"/>
              </w:rPr>
              <w:t>具体方案不合理；服务实施流程</w:t>
            </w:r>
            <w:r>
              <w:rPr>
                <w:rFonts w:hint="eastAsia" w:ascii="仿宋" w:hAnsi="仿宋" w:eastAsia="仿宋" w:cs="Arial Unicode MS"/>
                <w:color w:val="auto"/>
                <w:kern w:val="0"/>
                <w:sz w:val="24"/>
                <w:szCs w:val="24"/>
              </w:rPr>
              <w:t>可行性低，无法</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或未提供技术方案的，得0分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（二）</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对项目设计重点、难点的理解及建议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包括但不限于：</w:t>
            </w:r>
          </w:p>
          <w:p>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对本项目重点和难点的阐述；</w:t>
            </w:r>
          </w:p>
          <w:p>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对本项目重点和难点的监控措施；</w:t>
            </w:r>
          </w:p>
          <w:p>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对本项目重点和难点的建议方案；</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对本项目的重点、难点有充分的认识，措施具体，针对性强，相关建议可行性高，得6分；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对本项目的重点、难点有一定的认识，措施具体，针对性较强，相关建议可行性较高，得4分；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对本项目的重点、难点有一定的认识，措施具有一定的清晰度但不具体，具有一定的针对性，相关建议有一定可行性，得2分；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对本项目的重点、难点有相关的认识但不清晰，措施不清晰，不具针对性，相关建议可行性较低，得1分；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对本项目的重点、难点不了解，措施不清晰，不具针对性，相关建议不具可行性，或未提供得0分。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r>
              <w:rPr>
                <w:rFonts w:hint="eastAsia" w:ascii="仿宋" w:hAnsi="仿宋" w:eastAsia="仿宋" w:cs="Arial Unicode MS"/>
                <w:bCs/>
                <w:color w:val="auto"/>
                <w:kern w:val="0"/>
                <w:sz w:val="24"/>
                <w:szCs w:val="24"/>
              </w:rPr>
              <w:t>（三）</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bCs/>
                <w:color w:val="auto"/>
                <w:kern w:val="0"/>
                <w:sz w:val="24"/>
                <w:szCs w:val="24"/>
              </w:rPr>
              <w:t>项目进度保障措施</w:t>
            </w:r>
            <w:r>
              <w:rPr>
                <w:rFonts w:hint="eastAsia" w:ascii="仿宋" w:hAnsi="仿宋" w:eastAsia="仿宋" w:cs="Arial Unicode MS"/>
                <w:bCs/>
                <w:color w:val="auto"/>
                <w:kern w:val="0"/>
                <w:sz w:val="24"/>
                <w:szCs w:val="24"/>
                <w:lang w:eastAsia="zh-CN"/>
              </w:rPr>
              <w:t>（</w:t>
            </w:r>
            <w:r>
              <w:rPr>
                <w:rFonts w:hint="eastAsia" w:ascii="仿宋" w:hAnsi="仿宋" w:eastAsia="仿宋" w:cs="Arial Unicode MS"/>
                <w:bCs/>
                <w:color w:val="auto"/>
                <w:kern w:val="0"/>
                <w:sz w:val="24"/>
                <w:szCs w:val="24"/>
                <w:lang w:val="en-US" w:eastAsia="zh-CN"/>
              </w:rPr>
              <w:t>5分</w:t>
            </w:r>
            <w:r>
              <w:rPr>
                <w:rFonts w:hint="eastAsia" w:ascii="仿宋" w:hAnsi="仿宋" w:eastAsia="仿宋" w:cs="Arial Unicode MS"/>
                <w:bC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具体、全面，项目管理及进度安排合理高效、可操作性强，有计划保障</w:t>
            </w:r>
            <w:r>
              <w:rPr>
                <w:rFonts w:hint="eastAsia" w:ascii="仿宋" w:hAnsi="仿宋" w:eastAsia="仿宋" w:cs="Arial Unicode MS"/>
                <w:color w:val="auto"/>
                <w:kern w:val="0"/>
                <w:sz w:val="24"/>
                <w:szCs w:val="24"/>
              </w:rPr>
              <w:t>，得5分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项目管理、进度安排较完善，项目管理及进度安排较合理高效、可操作性较强</w:t>
            </w:r>
            <w:r>
              <w:rPr>
                <w:rFonts w:hint="eastAsia" w:ascii="仿宋" w:hAnsi="仿宋" w:eastAsia="仿宋" w:cs="Arial Unicode MS"/>
                <w:color w:val="auto"/>
                <w:kern w:val="0"/>
                <w:sz w:val="24"/>
                <w:szCs w:val="24"/>
              </w:rPr>
              <w:t>，得3分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项目管理、进度安排基本</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不够</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一般，得2分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不完善，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低，得1分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没有项目管理、进度安排</w:t>
            </w:r>
            <w:r>
              <w:rPr>
                <w:rFonts w:hint="eastAsia" w:ascii="仿宋" w:hAnsi="仿宋" w:eastAsia="仿宋" w:cs="Arial Unicode MS"/>
                <w:color w:val="auto"/>
                <w:kern w:val="0"/>
                <w:sz w:val="24"/>
                <w:szCs w:val="24"/>
              </w:rPr>
              <w:t>，得0分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（四）</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质量控制措施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针对本项目有提供完善到位的质量保证和质量控制措施，按照相关规范、标准制定质量控制方案及质量检测方案，方案完全满足本项目要求的，得6分；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针对本项目有提供较完善到位的质量保证和质量控制措施，按照相关规范、标准制定质量控制方案及质量检测方案，方案较能满足本项目要求的，得4分；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针对本项目提供的质量保证和质量控制措施不够完善，有按照相关规范、标准制定质量控制方案及质量检测方案，方案基本能满足本项目要求的，得2分；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针对本项目的质量保证和质量控制措施不完善，未按照相关规范、标准制定质量控制方案及质量检测方案，方案大部分无法满足本项目要求的，得</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rPr>
              <w:t>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（五）</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保密措施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包括但不限于</w:t>
            </w:r>
            <w:r>
              <w:rPr>
                <w:rFonts w:hint="eastAsia" w:ascii="仿宋" w:hAnsi="仿宋" w:eastAsia="仿宋" w:cs="Arial Unicode MS"/>
                <w:bCs/>
                <w:color w:val="auto"/>
                <w:kern w:val="0"/>
                <w:sz w:val="24"/>
                <w:szCs w:val="24"/>
              </w:rPr>
              <w:t>采样检测及结果的保密措施：</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保密措施具体、详细，可行性高，得3分；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保密措施较具体、详细，可行性较高，得2分；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保密措施不够具体，有一定可行性，得1分；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保密措施不具体，可行性低，或未提供得0分。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（六）</w:t>
            </w:r>
          </w:p>
        </w:tc>
        <w:tc>
          <w:tcPr>
            <w:tcW w:w="580" w:type="pct"/>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供应商检测能力认定</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34分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检测数目：供应商通过计量认证的环境类检测项目数≥</w:t>
            </w:r>
            <w:r>
              <w:rPr>
                <w:rFonts w:ascii="仿宋" w:hAnsi="仿宋" w:eastAsia="仿宋" w:cs="Arial Unicode MS"/>
                <w:color w:val="auto"/>
                <w:kern w:val="0"/>
                <w:sz w:val="24"/>
                <w:szCs w:val="24"/>
              </w:rPr>
              <w:t>1000项得</w:t>
            </w:r>
            <w:r>
              <w:rPr>
                <w:rFonts w:hint="eastAsia" w:ascii="仿宋" w:hAnsi="仿宋" w:eastAsia="仿宋" w:cs="Arial Unicode MS"/>
                <w:color w:val="auto"/>
                <w:kern w:val="0"/>
                <w:sz w:val="24"/>
                <w:szCs w:val="24"/>
              </w:rPr>
              <w:t>7</w:t>
            </w:r>
            <w:r>
              <w:rPr>
                <w:rFonts w:ascii="仿宋" w:hAnsi="仿宋" w:eastAsia="仿宋" w:cs="Arial Unicode MS"/>
                <w:color w:val="auto"/>
                <w:kern w:val="0"/>
                <w:sz w:val="24"/>
                <w:szCs w:val="24"/>
              </w:rPr>
              <w:t>分，500项≤检测项目数＜800项得</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分，300项≤检测项目数＜500项的得</w:t>
            </w:r>
            <w:r>
              <w:rPr>
                <w:rFonts w:hint="eastAsia" w:ascii="仿宋" w:hAnsi="仿宋" w:eastAsia="仿宋" w:cs="Arial Unicode MS"/>
                <w:color w:val="auto"/>
                <w:kern w:val="0"/>
                <w:sz w:val="24"/>
                <w:szCs w:val="24"/>
              </w:rPr>
              <w:t>2</w:t>
            </w:r>
            <w:r>
              <w:rPr>
                <w:rFonts w:ascii="仿宋" w:hAnsi="仿宋" w:eastAsia="仿宋" w:cs="Arial Unicode MS"/>
                <w:color w:val="auto"/>
                <w:kern w:val="0"/>
                <w:sz w:val="24"/>
                <w:szCs w:val="24"/>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检测项目：臭气浓度</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蛔虫卵死亡率、粪大肠菌群</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生化需氧量（BOD5）</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rPr>
              <w:t>化学耗氧量（COD）、悬浮物（SS）、氨氮（N-NH3）、总磷（TP）、粪大肠菌群数、蛔虫卵。每个检测项目得1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10</w:t>
            </w:r>
            <w:r>
              <w:rPr>
                <w:rFonts w:ascii="仿宋" w:hAnsi="仿宋" w:eastAsia="仿宋" w:cs="Arial Unicode MS"/>
                <w:color w:val="auto"/>
                <w:kern w:val="0"/>
                <w:sz w:val="24"/>
                <w:szCs w:val="24"/>
              </w:rPr>
              <w:t>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分析设备：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lang w:eastAsia="zh-CN"/>
              </w:rPr>
              <w:t>臭气分析平台</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w:t>
            </w:r>
            <w:r>
              <w:rPr>
                <w:rFonts w:hint="eastAsia" w:ascii="仿宋" w:hAnsi="仿宋" w:eastAsia="仿宋" w:cs="Arial Unicode MS"/>
                <w:color w:val="auto"/>
                <w:kern w:val="0"/>
                <w:sz w:val="24"/>
                <w:szCs w:val="24"/>
                <w:lang w:eastAsia="zh-CN"/>
              </w:rPr>
              <w:t>生化培养箱</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w:t>
            </w:r>
            <w:r>
              <w:rPr>
                <w:rFonts w:hint="eastAsia" w:ascii="仿宋" w:hAnsi="仿宋" w:eastAsia="仿宋" w:cs="Arial Unicode MS"/>
                <w:color w:val="auto"/>
                <w:kern w:val="0"/>
                <w:sz w:val="24"/>
                <w:szCs w:val="24"/>
                <w:lang w:eastAsia="zh-CN"/>
              </w:rPr>
              <w:t>溶解氧测定仪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rPr>
              <w:t>全自动流动注射分析仪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w:t>
            </w:r>
            <w:r>
              <w:rPr>
                <w:rFonts w:hint="eastAsia" w:ascii="仿宋" w:hAnsi="仿宋" w:eastAsia="仿宋" w:cs="Arial Unicode MS"/>
                <w:color w:val="auto"/>
                <w:kern w:val="0"/>
                <w:sz w:val="24"/>
                <w:szCs w:val="24"/>
                <w:lang w:val="en-US" w:eastAsia="zh-CN"/>
              </w:rPr>
              <w:t>COD回流装置</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6）</w:t>
            </w:r>
            <w:r>
              <w:rPr>
                <w:rFonts w:hint="eastAsia" w:ascii="仿宋" w:hAnsi="仿宋" w:eastAsia="仿宋" w:cs="Arial Unicode MS"/>
                <w:color w:val="auto"/>
                <w:kern w:val="0"/>
                <w:sz w:val="24"/>
                <w:szCs w:val="24"/>
                <w:lang w:val="en-US" w:eastAsia="zh-CN"/>
              </w:rPr>
              <w:t>SS过滤器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7）</w:t>
            </w:r>
            <w:r>
              <w:rPr>
                <w:rFonts w:hint="eastAsia" w:ascii="仿宋" w:hAnsi="仿宋" w:eastAsia="仿宋" w:cs="Arial Unicode MS"/>
                <w:color w:val="auto"/>
                <w:kern w:val="0"/>
                <w:sz w:val="24"/>
                <w:szCs w:val="24"/>
                <w:lang w:val="en-US" w:eastAsia="zh-CN"/>
              </w:rPr>
              <w:t>COD</w:t>
            </w:r>
            <w:r>
              <w:rPr>
                <w:rFonts w:hint="eastAsia" w:ascii="仿宋" w:hAnsi="仿宋" w:eastAsia="仿宋" w:cs="Arial Unicode MS"/>
                <w:color w:val="auto"/>
                <w:kern w:val="0"/>
                <w:sz w:val="24"/>
                <w:szCs w:val="24"/>
                <w:lang w:eastAsia="zh-CN"/>
              </w:rPr>
              <w:t>消解器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8）</w:t>
            </w:r>
            <w:r>
              <w:rPr>
                <w:rFonts w:hint="eastAsia" w:ascii="仿宋" w:hAnsi="仿宋" w:eastAsia="仿宋" w:cs="Arial Unicode MS"/>
                <w:color w:val="auto"/>
                <w:kern w:val="0"/>
                <w:sz w:val="24"/>
                <w:szCs w:val="24"/>
                <w:lang w:eastAsia="zh-CN"/>
              </w:rPr>
              <w:t>无菌室、（</w:t>
            </w:r>
            <w:r>
              <w:rPr>
                <w:rFonts w:hint="eastAsia" w:ascii="仿宋" w:hAnsi="仿宋" w:eastAsia="仿宋" w:cs="Arial Unicode MS"/>
                <w:color w:val="auto"/>
                <w:kern w:val="0"/>
                <w:sz w:val="24"/>
                <w:szCs w:val="24"/>
                <w:lang w:val="en-US" w:eastAsia="zh-CN"/>
              </w:rPr>
              <w:t>9</w:t>
            </w:r>
            <w:r>
              <w:rPr>
                <w:rFonts w:ascii="仿宋" w:hAnsi="仿宋" w:eastAsia="仿宋" w:cs="Arial Unicode MS"/>
                <w:color w:val="auto"/>
                <w:kern w:val="0"/>
                <w:sz w:val="24"/>
                <w:szCs w:val="24"/>
              </w:rPr>
              <w:t>）气相色谱仪</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w:t>
            </w:r>
            <w:r>
              <w:rPr>
                <w:rFonts w:ascii="仿宋" w:hAnsi="仿宋" w:eastAsia="仿宋" w:cs="Arial Unicode MS"/>
                <w:color w:val="auto"/>
                <w:kern w:val="0"/>
                <w:sz w:val="24"/>
                <w:szCs w:val="24"/>
              </w:rPr>
              <w:t>）液相色谱仪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11）离子色谱仪、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12）紫外-可见分光光度计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以上每提供一类设备得</w:t>
            </w:r>
            <w:r>
              <w:rPr>
                <w:rFonts w:hint="eastAsia" w:ascii="仿宋" w:hAnsi="仿宋" w:eastAsia="仿宋" w:cs="Arial Unicode MS"/>
                <w:color w:val="auto"/>
                <w:kern w:val="0"/>
                <w:sz w:val="24"/>
                <w:szCs w:val="24"/>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color w:val="auto"/>
                <w:kern w:val="0"/>
                <w:sz w:val="24"/>
                <w:szCs w:val="24"/>
              </w:rPr>
              <w:t>，不一致的设备不计分）。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采样设备：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lang w:eastAsia="zh-CN"/>
              </w:rPr>
              <w:t>真空箱气袋采样器</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w:t>
            </w:r>
            <w:r>
              <w:rPr>
                <w:rFonts w:hint="eastAsia" w:ascii="仿宋" w:hAnsi="仿宋" w:eastAsia="仿宋" w:cs="Arial Unicode MS"/>
                <w:color w:val="auto"/>
                <w:kern w:val="0"/>
                <w:sz w:val="24"/>
                <w:szCs w:val="24"/>
                <w:lang w:eastAsia="zh-CN"/>
              </w:rPr>
              <w:t>臭气真空瓶</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w:t>
            </w:r>
            <w:r>
              <w:rPr>
                <w:rFonts w:hint="eastAsia" w:ascii="仿宋" w:hAnsi="仿宋" w:eastAsia="仿宋" w:cs="Arial Unicode MS"/>
                <w:color w:val="auto"/>
                <w:kern w:val="0"/>
                <w:sz w:val="24"/>
                <w:szCs w:val="24"/>
                <w:lang w:eastAsia="zh-CN"/>
              </w:rPr>
              <w:t>空</w:t>
            </w:r>
            <w:r>
              <w:rPr>
                <w:rFonts w:ascii="仿宋" w:hAnsi="仿宋" w:eastAsia="仿宋" w:cs="Arial Unicode MS"/>
                <w:color w:val="auto"/>
                <w:kern w:val="0"/>
                <w:sz w:val="24"/>
                <w:szCs w:val="24"/>
              </w:rPr>
              <w:t>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lang w:eastAsia="zh-CN"/>
              </w:rPr>
              <w:t>废水</w:t>
            </w:r>
            <w:bookmarkStart w:id="0" w:name="_GoBack"/>
            <w:bookmarkEnd w:id="0"/>
            <w:r>
              <w:rPr>
                <w:rFonts w:ascii="仿宋" w:hAnsi="仿宋" w:eastAsia="仿宋" w:cs="Arial Unicode MS"/>
                <w:color w:val="auto"/>
                <w:kern w:val="0"/>
                <w:sz w:val="24"/>
                <w:szCs w:val="24"/>
              </w:rPr>
              <w:t>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w:t>
            </w:r>
            <w:r>
              <w:rPr>
                <w:rFonts w:hint="eastAsia" w:ascii="仿宋" w:hAnsi="仿宋" w:eastAsia="仿宋" w:cs="Arial Unicode MS"/>
                <w:color w:val="auto"/>
                <w:kern w:val="0"/>
                <w:sz w:val="24"/>
                <w:szCs w:val="24"/>
                <w:lang w:eastAsia="zh-CN"/>
              </w:rPr>
              <w:t>土壤采样器</w:t>
            </w:r>
            <w:r>
              <w:rPr>
                <w:rFonts w:ascii="仿宋" w:hAnsi="仿宋" w:eastAsia="仿宋" w:cs="Arial Unicode MS"/>
                <w:color w:val="auto"/>
                <w:kern w:val="0"/>
                <w:sz w:val="24"/>
                <w:szCs w:val="24"/>
              </w:rPr>
              <w:t>。五种设备齐全的且各一台的得</w:t>
            </w:r>
            <w:r>
              <w:rPr>
                <w:rFonts w:hint="eastAsia" w:ascii="仿宋" w:hAnsi="仿宋" w:eastAsia="仿宋" w:cs="Arial Unicode MS"/>
                <w:color w:val="auto"/>
                <w:kern w:val="0"/>
                <w:sz w:val="24"/>
                <w:szCs w:val="24"/>
              </w:rPr>
              <w:t>0.5</w:t>
            </w:r>
            <w:r>
              <w:rPr>
                <w:rFonts w:ascii="仿宋" w:hAnsi="仿宋" w:eastAsia="仿宋" w:cs="Arial Unicode MS"/>
                <w:color w:val="auto"/>
                <w:kern w:val="0"/>
                <w:sz w:val="24"/>
                <w:szCs w:val="24"/>
              </w:rPr>
              <w:t>分，每多一台加0.5分。最多得</w:t>
            </w:r>
            <w:r>
              <w:rPr>
                <w:rFonts w:hint="eastAsia" w:ascii="仿宋" w:hAnsi="仿宋" w:eastAsia="仿宋" w:cs="Arial Unicode MS"/>
                <w:color w:val="auto"/>
                <w:kern w:val="0"/>
                <w:sz w:val="24"/>
                <w:szCs w:val="24"/>
              </w:rPr>
              <w:t>5</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before="240"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七</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w:t>
            </w:r>
            <w:r>
              <w:rPr>
                <w:rFonts w:ascii="仿宋" w:hAnsi="仿宋" w:eastAsia="仿宋" w:cs="Arial Unicode MS"/>
                <w:color w:val="auto"/>
                <w:kern w:val="0"/>
                <w:sz w:val="24"/>
                <w:szCs w:val="24"/>
              </w:rPr>
              <w:t>同类</w:t>
            </w:r>
            <w:r>
              <w:rPr>
                <w:rFonts w:hint="eastAsia" w:ascii="仿宋" w:hAnsi="仿宋" w:eastAsia="仿宋" w:cs="Arial Unicode MS"/>
                <w:color w:val="auto"/>
                <w:kern w:val="0"/>
                <w:sz w:val="24"/>
                <w:szCs w:val="24"/>
              </w:rPr>
              <w:t>项目</w:t>
            </w:r>
            <w:r>
              <w:rPr>
                <w:rFonts w:ascii="仿宋" w:hAnsi="仿宋" w:eastAsia="仿宋" w:cs="Arial Unicode MS"/>
                <w:color w:val="auto"/>
                <w:kern w:val="0"/>
                <w:sz w:val="24"/>
                <w:szCs w:val="24"/>
              </w:rPr>
              <w:t>业绩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w:t>
            </w:r>
            <w:r>
              <w:rPr>
                <w:rFonts w:hint="eastAsia" w:ascii="仿宋" w:hAnsi="仿宋" w:eastAsia="仿宋" w:cs="Arial Unicode MS"/>
                <w:color w:val="auto"/>
                <w:kern w:val="0"/>
                <w:sz w:val="24"/>
                <w:szCs w:val="24"/>
                <w:lang w:val="en-US" w:eastAsia="zh-CN"/>
              </w:rPr>
              <w:t>2020年以来</w:t>
            </w:r>
            <w:r>
              <w:rPr>
                <w:rFonts w:hint="eastAsia" w:ascii="仿宋" w:hAnsi="仿宋" w:eastAsia="仿宋" w:cs="Arial Unicode MS"/>
                <w:color w:val="auto"/>
                <w:kern w:val="0"/>
                <w:sz w:val="24"/>
                <w:szCs w:val="24"/>
              </w:rPr>
              <w:t>承接过政府部门委托的环境类检测项目的环境监测工作，每提供一份业绩合同得2</w:t>
            </w:r>
            <w:r>
              <w:rPr>
                <w:rFonts w:ascii="仿宋" w:hAnsi="仿宋" w:eastAsia="仿宋" w:cs="Arial Unicode MS"/>
                <w:color w:val="auto"/>
                <w:kern w:val="0"/>
                <w:sz w:val="24"/>
                <w:szCs w:val="24"/>
              </w:rPr>
              <w:t>分，最高得10分。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shd w:val="clear" w:color="auto" w:fill="FFFFFF"/>
              </w:rPr>
            </w:pPr>
            <w:r>
              <w:rPr>
                <w:rFonts w:ascii="仿宋" w:hAnsi="仿宋" w:eastAsia="仿宋" w:cs="Arial Unicode MS"/>
                <w:b/>
                <w:bCs/>
                <w:color w:val="auto"/>
                <w:kern w:val="0"/>
                <w:sz w:val="24"/>
                <w:szCs w:val="24"/>
              </w:rPr>
              <w:t>注：提供加盖公章的合同关</w:t>
            </w:r>
            <w:r>
              <w:rPr>
                <w:rFonts w:hint="eastAsia" w:ascii="仿宋" w:hAnsi="仿宋" w:eastAsia="仿宋" w:cs="Arial Unicode MS"/>
                <w:b/>
                <w:bCs/>
                <w:color w:val="auto"/>
                <w:kern w:val="0"/>
                <w:sz w:val="24"/>
                <w:szCs w:val="24"/>
              </w:rPr>
              <w:t>键信息（含签订合同双方的单位名称、合同项目名称、服务内容与含签订合同双方的落款盖章、签订日期的关键页）</w:t>
            </w:r>
            <w:r>
              <w:rPr>
                <w:rFonts w:ascii="仿宋" w:hAnsi="仿宋" w:eastAsia="仿宋" w:cs="Arial Unicode MS"/>
                <w:b/>
                <w:bCs/>
                <w:color w:val="auto"/>
                <w:kern w:val="0"/>
                <w:sz w:val="24"/>
                <w:szCs w:val="24"/>
              </w:rPr>
              <w:t>复印件作为得分依据</w:t>
            </w:r>
            <w:r>
              <w:rPr>
                <w:rFonts w:hint="eastAsia" w:ascii="仿宋" w:hAnsi="仿宋" w:eastAsia="仿宋" w:cs="Arial Unicode MS"/>
                <w:b/>
                <w:bCs/>
                <w:color w:val="auto"/>
                <w:kern w:val="0"/>
                <w:sz w:val="24"/>
                <w:szCs w:val="24"/>
                <w:shd w:val="clear" w:color="auto" w:fill="FFFFFF"/>
              </w:rPr>
              <w:t>，以合同签订时间为准。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八</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供应商综合实力</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供应商具有</w:t>
            </w:r>
            <w:r>
              <w:rPr>
                <w:rFonts w:ascii="仿宋" w:hAnsi="仿宋" w:eastAsia="仿宋" w:cs="Arial Unicode MS"/>
                <w:color w:val="auto"/>
                <w:kern w:val="0"/>
                <w:sz w:val="24"/>
                <w:szCs w:val="24"/>
              </w:rPr>
              <w:t>ISO9001、ISO14001、OHSAS18001管理体系认证证书的，有一个证书得2分（最高不超过6分）</w:t>
            </w:r>
            <w:r>
              <w:rPr>
                <w:rFonts w:hint="eastAsia" w:ascii="仿宋" w:hAnsi="仿宋" w:eastAsia="仿宋" w:cs="Arial Unicode MS"/>
                <w:color w:val="auto"/>
                <w:kern w:val="0"/>
                <w:sz w:val="24"/>
                <w:szCs w:val="24"/>
              </w:rPr>
              <w:t>。</w:t>
            </w:r>
          </w:p>
          <w:p>
            <w:pPr>
              <w:keepNext w:val="0"/>
              <w:keepLines w:val="0"/>
              <w:pageBreakBefore w:val="0"/>
              <w:kinsoku/>
              <w:wordWrap/>
              <w:overflowPunct/>
              <w:topLinePunct w:val="0"/>
              <w:bidi w:val="0"/>
              <w:spacing w:line="560" w:lineRule="exact"/>
              <w:textAlignment w:val="auto"/>
              <w:rPr>
                <w:rFonts w:ascii="仿宋" w:hAnsi="仿宋" w:eastAsia="仿宋" w:cs="Arial Unicode MS"/>
                <w:b/>
                <w:bCs/>
                <w:color w:val="auto"/>
              </w:rPr>
            </w:pPr>
            <w:r>
              <w:rPr>
                <w:rFonts w:hint="eastAsia" w:ascii="仿宋" w:hAnsi="仿宋" w:eastAsia="仿宋" w:cs="Arial Unicode MS"/>
                <w:b/>
                <w:bCs/>
                <w:color w:val="auto"/>
              </w:rPr>
              <w:t>注：以上须提供以上证明材料复印件，并加盖公章，不提供的不得分。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九</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rPr>
            </w:pPr>
            <w:r>
              <w:rPr>
                <w:rFonts w:hint="eastAsia" w:ascii="仿宋" w:hAnsi="仿宋" w:eastAsia="仿宋" w:cs="Arial Unicode MS"/>
                <w:color w:val="auto"/>
                <w:kern w:val="0"/>
                <w:sz w:val="24"/>
                <w:szCs w:val="24"/>
              </w:rPr>
              <w:t>响应情况</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供应商响应时间在一小时内，得10分；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供应商响应时间在一小时至两小时之间，得7分；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供应商响应时间在两小时至三小时之间，得4分；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其他不得分。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w:t>
            </w:r>
            <w:r>
              <w:rPr>
                <w:rFonts w:hint="eastAsia" w:ascii="仿宋" w:hAnsi="仿宋" w:eastAsia="仿宋" w:cs="Arial Unicode MS"/>
                <w:color w:val="auto"/>
                <w:kern w:val="0"/>
                <w:sz w:val="24"/>
                <w:szCs w:val="24"/>
                <w:lang w:eastAsia="zh-CN"/>
              </w:rPr>
              <w:t>台山</w:t>
            </w:r>
            <w:r>
              <w:rPr>
                <w:rFonts w:hint="eastAsia" w:ascii="仿宋" w:hAnsi="仿宋" w:eastAsia="仿宋" w:cs="Arial Unicode MS"/>
                <w:color w:val="auto"/>
                <w:kern w:val="0"/>
                <w:sz w:val="24"/>
                <w:szCs w:val="24"/>
                <w:lang w:val="en-US" w:eastAsia="zh-CN"/>
              </w:rPr>
              <w:t>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广东省</w:t>
            </w:r>
            <w:r>
              <w:rPr>
                <w:rFonts w:hint="eastAsia" w:ascii="仿宋" w:hAnsi="仿宋" w:eastAsia="仿宋" w:cs="Arial Unicode MS"/>
                <w:color w:val="auto"/>
                <w:kern w:val="0"/>
                <w:sz w:val="24"/>
                <w:szCs w:val="24"/>
              </w:rPr>
              <w:t>江门市</w:t>
            </w:r>
            <w:r>
              <w:rPr>
                <w:rFonts w:hint="eastAsia" w:ascii="仿宋" w:hAnsi="仿宋" w:eastAsia="仿宋" w:cs="Arial Unicode MS"/>
                <w:color w:val="auto"/>
                <w:kern w:val="0"/>
                <w:sz w:val="24"/>
                <w:szCs w:val="24"/>
                <w:lang w:val="en-US" w:eastAsia="zh-CN"/>
              </w:rPr>
              <w:t>台山市上朗路386号</w:t>
            </w:r>
            <w:r>
              <w:rPr>
                <w:rFonts w:hint="eastAsia" w:ascii="仿宋" w:hAnsi="仿宋" w:eastAsia="仿宋" w:cs="Arial Unicode MS"/>
                <w:color w:val="auto"/>
                <w:kern w:val="0"/>
                <w:sz w:val="24"/>
                <w:szCs w:val="24"/>
              </w:rPr>
              <w:t>）”为模拟采样点。供应商应使用网页版百度地图进行耗用时间查询（打开网页版百度地图-点击地图左上角搜索栏的箭头符号-选择“驾车”-</w:t>
            </w:r>
            <w:r>
              <w:rPr>
                <w:rFonts w:hint="eastAsia" w:ascii="仿宋" w:hAnsi="仿宋" w:eastAsia="仿宋" w:cs="Arial Unicode MS"/>
                <w:color w:val="auto"/>
                <w:kern w:val="0"/>
                <w:sz w:val="24"/>
                <w:szCs w:val="24"/>
                <w:lang w:val="en-US" w:eastAsia="zh-CN"/>
              </w:rPr>
              <w:t>终点</w:t>
            </w:r>
            <w:r>
              <w:rPr>
                <w:rFonts w:hint="eastAsia" w:ascii="仿宋" w:hAnsi="仿宋" w:eastAsia="仿宋" w:cs="Arial Unicode MS"/>
                <w:color w:val="auto"/>
                <w:kern w:val="0"/>
                <w:sz w:val="24"/>
                <w:szCs w:val="24"/>
              </w:rPr>
              <w:t>处填“江门市生态环境局</w:t>
            </w:r>
            <w:r>
              <w:rPr>
                <w:rFonts w:hint="eastAsia" w:ascii="仿宋" w:hAnsi="仿宋" w:eastAsia="仿宋" w:cs="Arial Unicode MS"/>
                <w:color w:val="auto"/>
                <w:kern w:val="0"/>
                <w:sz w:val="24"/>
                <w:szCs w:val="24"/>
                <w:lang w:val="en-US" w:eastAsia="zh-CN"/>
              </w:rPr>
              <w:t>台山分局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val="en-US" w:eastAsia="zh-CN"/>
              </w:rPr>
              <w:t>起</w:t>
            </w:r>
            <w:r>
              <w:rPr>
                <w:rFonts w:hint="eastAsia" w:ascii="仿宋" w:hAnsi="仿宋" w:eastAsia="仿宋" w:cs="Arial Unicode MS"/>
                <w:color w:val="auto"/>
                <w:kern w:val="0"/>
                <w:sz w:val="24"/>
                <w:szCs w:val="24"/>
              </w:rPr>
              <w:t>点处填“投标人实验室的资质认定证书所载地址”-点击搜索），以导航显示所用时间作为证明，投标文件中提供上述导航查询结果网页截图并加盖供应商公章，无则不予计分。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十</w:t>
            </w:r>
            <w:r>
              <w:rPr>
                <w:rFonts w:hint="eastAsia" w:ascii="仿宋" w:hAnsi="仿宋" w:eastAsia="仿宋" w:cs="Arial Unicode MS"/>
                <w:color w:val="auto"/>
                <w:kern w:val="0"/>
                <w:sz w:val="24"/>
                <w:szCs w:val="24"/>
              </w:rPr>
              <w:t>）</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项目组人员</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14分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ascii="仿宋" w:hAnsi="仿宋" w:eastAsia="仿宋" w:cs="Arial Unicode MS"/>
                <w:color w:val="auto"/>
                <w:kern w:val="0"/>
                <w:sz w:val="24"/>
                <w:szCs w:val="24"/>
                <w:lang w:bidi="ar"/>
              </w:rPr>
              <w:t>1</w:t>
            </w:r>
            <w:r>
              <w:rPr>
                <w:rFonts w:hint="eastAsia" w:ascii="仿宋" w:hAnsi="仿宋" w:eastAsia="仿宋" w:cs="Arial Unicode MS"/>
                <w:color w:val="auto"/>
                <w:kern w:val="0"/>
                <w:sz w:val="24"/>
                <w:szCs w:val="24"/>
                <w:lang w:bidi="ar"/>
              </w:rPr>
              <w:t>.</w:t>
            </w:r>
            <w:r>
              <w:rPr>
                <w:rFonts w:ascii="仿宋" w:hAnsi="仿宋" w:eastAsia="仿宋" w:cs="Arial Unicode MS"/>
                <w:color w:val="auto"/>
                <w:kern w:val="0"/>
                <w:sz w:val="24"/>
                <w:szCs w:val="24"/>
                <w:lang w:bidi="ar"/>
              </w:rPr>
              <w:t>项目负责人</w:t>
            </w:r>
            <w:r>
              <w:rPr>
                <w:rFonts w:hint="eastAsia" w:ascii="仿宋" w:hAnsi="仿宋" w:eastAsia="仿宋" w:cs="Arial Unicode MS"/>
                <w:color w:val="auto"/>
                <w:kern w:val="0"/>
                <w:sz w:val="24"/>
                <w:szCs w:val="24"/>
                <w:lang w:bidi="ar"/>
              </w:rPr>
              <w:t>：</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hint="eastAsia" w:ascii="仿宋" w:hAnsi="仿宋" w:eastAsia="仿宋" w:cs="Arial Unicode MS"/>
                <w:color w:val="auto"/>
                <w:kern w:val="0"/>
                <w:sz w:val="24"/>
                <w:szCs w:val="24"/>
                <w:lang w:bidi="ar"/>
              </w:rPr>
              <w:t>项目负责人为环境类高级工程师职称得</w:t>
            </w:r>
            <w:r>
              <w:rPr>
                <w:rFonts w:ascii="仿宋" w:hAnsi="仿宋" w:eastAsia="仿宋" w:cs="Arial Unicode MS"/>
                <w:color w:val="auto"/>
                <w:kern w:val="0"/>
                <w:sz w:val="24"/>
                <w:szCs w:val="24"/>
                <w:lang w:bidi="ar"/>
              </w:rPr>
              <w:t>5分；项目负责人为环境类中级职称得</w:t>
            </w:r>
            <w:r>
              <w:rPr>
                <w:rFonts w:hint="eastAsia" w:ascii="仿宋" w:hAnsi="仿宋" w:eastAsia="仿宋" w:cs="Arial Unicode MS"/>
                <w:color w:val="auto"/>
                <w:kern w:val="0"/>
                <w:sz w:val="24"/>
                <w:szCs w:val="24"/>
                <w:lang w:val="en-US" w:eastAsia="zh-CN" w:bidi="ar"/>
              </w:rPr>
              <w:t>3</w:t>
            </w:r>
            <w:r>
              <w:rPr>
                <w:rFonts w:ascii="仿宋" w:hAnsi="仿宋" w:eastAsia="仿宋" w:cs="Arial Unicode MS"/>
                <w:color w:val="auto"/>
                <w:kern w:val="0"/>
                <w:sz w:val="24"/>
                <w:szCs w:val="24"/>
                <w:lang w:bidi="ar"/>
              </w:rPr>
              <w:t>分（不重复算分，得分高者算分。</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b/>
                <w:bCs/>
                <w:color w:val="auto"/>
                <w:kern w:val="0"/>
                <w:sz w:val="24"/>
                <w:szCs w:val="24"/>
              </w:rPr>
            </w:pPr>
            <w:r>
              <w:rPr>
                <w:rFonts w:ascii="仿宋" w:hAnsi="仿宋" w:eastAsia="仿宋" w:cs="Arial Unicode MS"/>
                <w:b/>
                <w:bCs/>
                <w:color w:val="auto"/>
                <w:kern w:val="0"/>
                <w:sz w:val="24"/>
                <w:szCs w:val="24"/>
              </w:rPr>
              <w:t>注：提供项目负责人职称证书复印件</w:t>
            </w:r>
            <w:r>
              <w:rPr>
                <w:rFonts w:hint="eastAsia" w:ascii="仿宋" w:hAnsi="仿宋" w:eastAsia="仿宋" w:cs="Arial Unicode MS"/>
                <w:b/>
                <w:bCs/>
                <w:color w:val="auto"/>
                <w:kern w:val="0"/>
                <w:sz w:val="24"/>
                <w:szCs w:val="24"/>
              </w:rPr>
              <w:t>和开标前半年内</w:t>
            </w:r>
            <w:r>
              <w:rPr>
                <w:rFonts w:ascii="仿宋" w:hAnsi="仿宋" w:eastAsia="仿宋" w:cs="Arial Unicode MS"/>
                <w:b/>
                <w:bCs/>
                <w:color w:val="auto"/>
                <w:kern w:val="0"/>
                <w:sz w:val="24"/>
                <w:szCs w:val="24"/>
                <w:lang w:val="ru-RU"/>
              </w:rPr>
              <w:t>任意1个月供应商为其购买的社保证明材料复印件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lang w:bidi="ar"/>
              </w:rPr>
              <w:t>2</w:t>
            </w:r>
            <w:r>
              <w:rPr>
                <w:rFonts w:hint="eastAsia" w:ascii="仿宋" w:hAnsi="仿宋" w:eastAsia="仿宋" w:cs="Arial Unicode MS"/>
                <w:color w:val="auto"/>
                <w:kern w:val="0"/>
                <w:sz w:val="24"/>
                <w:szCs w:val="24"/>
                <w:lang w:bidi="ar"/>
              </w:rPr>
              <w:t>.</w:t>
            </w:r>
            <w:r>
              <w:rPr>
                <w:rFonts w:hint="eastAsia" w:ascii="仿宋" w:hAnsi="仿宋" w:eastAsia="仿宋" w:cs="Arial Unicode MS"/>
                <w:color w:val="auto"/>
                <w:kern w:val="0"/>
                <w:sz w:val="24"/>
                <w:szCs w:val="24"/>
              </w:rPr>
              <w:t>为本项目投入专业技术人员中，每一个环境相关中级职称以上人员得1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4</w:t>
            </w:r>
            <w:r>
              <w:rPr>
                <w:rFonts w:ascii="仿宋" w:hAnsi="仿宋" w:eastAsia="仿宋" w:cs="Arial Unicode MS"/>
                <w:color w:val="auto"/>
                <w:kern w:val="0"/>
                <w:sz w:val="24"/>
                <w:szCs w:val="24"/>
              </w:rPr>
              <w:t>分）；每一个具有第三方培训机构颁发的环境检测上岗合格证或培训证的专职检测人员得</w:t>
            </w:r>
            <w:r>
              <w:rPr>
                <w:rFonts w:hint="eastAsia" w:ascii="仿宋" w:hAnsi="仿宋" w:eastAsia="仿宋" w:cs="Arial Unicode MS"/>
                <w:color w:val="auto"/>
                <w:kern w:val="0"/>
                <w:sz w:val="24"/>
                <w:szCs w:val="24"/>
                <w:lang w:val="en-US" w:eastAsia="zh-CN"/>
              </w:rPr>
              <w:t>0.5</w:t>
            </w:r>
            <w:r>
              <w:rPr>
                <w:rFonts w:ascii="仿宋" w:hAnsi="仿宋" w:eastAsia="仿宋" w:cs="Arial Unicode MS"/>
                <w:color w:val="auto"/>
                <w:kern w:val="0"/>
                <w:sz w:val="24"/>
                <w:szCs w:val="24"/>
              </w:rPr>
              <w:t>分（最高不超过</w:t>
            </w:r>
            <w:r>
              <w:rPr>
                <w:rFonts w:hint="eastAsia" w:ascii="仿宋" w:hAnsi="仿宋" w:eastAsia="仿宋" w:cs="Arial Unicode MS"/>
                <w:color w:val="auto"/>
                <w:kern w:val="0"/>
                <w:sz w:val="24"/>
                <w:szCs w:val="24"/>
              </w:rPr>
              <w:t>3</w:t>
            </w:r>
            <w:r>
              <w:rPr>
                <w:rFonts w:ascii="仿宋" w:hAnsi="仿宋" w:eastAsia="仿宋" w:cs="Arial Unicode MS"/>
                <w:color w:val="auto"/>
                <w:kern w:val="0"/>
                <w:sz w:val="24"/>
                <w:szCs w:val="24"/>
              </w:rPr>
              <w:t>分）；每一个具有检测检验机构资质认定内审员资格人员得0.5分（最高得2分）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b/>
                <w:bCs/>
                <w:color w:val="auto"/>
                <w:kern w:val="0"/>
                <w:sz w:val="24"/>
                <w:szCs w:val="24"/>
                <w:lang w:val="ru-RU"/>
              </w:rPr>
              <w:t>注：提供</w:t>
            </w:r>
            <w:r>
              <w:rPr>
                <w:rFonts w:hint="eastAsia" w:ascii="仿宋" w:hAnsi="仿宋" w:eastAsia="仿宋" w:cs="Arial Unicode MS"/>
                <w:b/>
                <w:bCs/>
                <w:color w:val="auto"/>
                <w:kern w:val="0"/>
                <w:sz w:val="24"/>
                <w:szCs w:val="24"/>
                <w:lang w:val="ru-RU"/>
              </w:rPr>
              <w:t>上述</w:t>
            </w:r>
            <w:r>
              <w:rPr>
                <w:rFonts w:ascii="仿宋" w:hAnsi="仿宋" w:eastAsia="仿宋" w:cs="Arial Unicode MS"/>
                <w:b/>
                <w:bCs/>
                <w:color w:val="auto"/>
                <w:kern w:val="0"/>
                <w:sz w:val="24"/>
                <w:szCs w:val="24"/>
                <w:lang w:val="ru-RU"/>
              </w:rPr>
              <w:t>人员</w:t>
            </w:r>
            <w:r>
              <w:rPr>
                <w:rFonts w:hint="eastAsia" w:ascii="仿宋" w:hAnsi="仿宋" w:eastAsia="仿宋" w:cs="Arial Unicode MS"/>
                <w:b/>
                <w:bCs/>
                <w:color w:val="auto"/>
                <w:kern w:val="0"/>
                <w:sz w:val="24"/>
                <w:szCs w:val="24"/>
                <w:lang w:val="ru-RU"/>
              </w:rPr>
              <w:t>清单，证书复印件</w:t>
            </w:r>
            <w:r>
              <w:rPr>
                <w:rFonts w:ascii="仿宋" w:hAnsi="仿宋" w:eastAsia="仿宋" w:cs="Arial Unicode MS"/>
                <w:b/>
                <w:bCs/>
                <w:color w:val="auto"/>
                <w:kern w:val="0"/>
                <w:sz w:val="24"/>
                <w:szCs w:val="24"/>
                <w:lang w:val="ru-RU"/>
              </w:rPr>
              <w:t>及</w:t>
            </w:r>
            <w:r>
              <w:rPr>
                <w:rFonts w:hint="eastAsia" w:ascii="仿宋" w:hAnsi="仿宋" w:eastAsia="仿宋" w:cs="Arial Unicode MS"/>
                <w:b/>
                <w:bCs/>
                <w:color w:val="auto"/>
                <w:kern w:val="0"/>
                <w:sz w:val="24"/>
                <w:szCs w:val="24"/>
              </w:rPr>
              <w:t>开标前半年内</w:t>
            </w:r>
            <w:r>
              <w:rPr>
                <w:rFonts w:ascii="仿宋" w:hAnsi="仿宋" w:eastAsia="仿宋" w:cs="Arial Unicode MS"/>
                <w:b/>
                <w:bCs/>
                <w:color w:val="auto"/>
                <w:kern w:val="0"/>
                <w:sz w:val="24"/>
                <w:szCs w:val="24"/>
                <w:lang w:val="ru-RU"/>
              </w:rPr>
              <w:t>任意1个月供应商为上述人员购买的社保证明材料复印件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33" w:type="pct"/>
            <w:gridSpan w:val="4"/>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合计</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67F1"/>
    <w:multiLevelType w:val="multilevel"/>
    <w:tmpl w:val="190767F1"/>
    <w:lvl w:ilvl="0" w:tentative="0">
      <w:start w:val="1"/>
      <w:numFmt w:val="decimalEnclosedCircle"/>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abstractNum w:abstractNumId="1">
    <w:nsid w:val="4FF8EAF5"/>
    <w:multiLevelType w:val="singleLevel"/>
    <w:tmpl w:val="4FF8EAF5"/>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DhjZTkyMzk4ODk3NGEyN2Q2MmVmM2FjODhjOTMifQ=="/>
  </w:docVars>
  <w:rsids>
    <w:rsidRoot w:val="05FB260C"/>
    <w:rsid w:val="05FB260C"/>
    <w:rsid w:val="0C3F702F"/>
    <w:rsid w:val="41B25224"/>
    <w:rsid w:val="486B629C"/>
    <w:rsid w:val="5F28068D"/>
    <w:rsid w:val="79F5EC41"/>
    <w:rsid w:val="7BF3F0B8"/>
    <w:rsid w:val="AABD92D1"/>
    <w:rsid w:val="F5DB3F9E"/>
    <w:rsid w:val="FFFAF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460" w:lineRule="exact"/>
      <w:ind w:firstLine="200"/>
    </w:pPr>
  </w:style>
  <w:style w:type="paragraph" w:customStyle="1" w:styleId="3">
    <w:name w:val="文章"/>
    <w:basedOn w:val="1"/>
    <w:next w:val="4"/>
    <w:qFormat/>
    <w:uiPriority w:val="0"/>
    <w:pPr>
      <w:widowControl/>
      <w:ind w:firstLine="480"/>
      <w:jc w:val="center"/>
    </w:pPr>
    <w:rPr>
      <w:sz w:val="26"/>
    </w:rPr>
  </w:style>
  <w:style w:type="paragraph" w:styleId="4">
    <w:name w:val="List"/>
    <w:basedOn w:val="1"/>
    <w:next w:val="5"/>
    <w:qFormat/>
    <w:uiPriority w:val="0"/>
    <w:pPr>
      <w:ind w:left="200" w:hanging="200" w:hangingChars="200"/>
    </w:pPr>
  </w:style>
  <w:style w:type="paragraph" w:styleId="5">
    <w:name w:val="List Bullet 2"/>
    <w:basedOn w:val="1"/>
    <w:next w:val="6"/>
    <w:qFormat/>
    <w:uiPriority w:val="0"/>
    <w:pPr>
      <w:numPr>
        <w:ilvl w:val="0"/>
        <w:numId w:val="1"/>
      </w:numPr>
    </w:pPr>
  </w:style>
  <w:style w:type="paragraph" w:customStyle="1" w:styleId="6">
    <w:name w:val="xl70"/>
    <w:basedOn w:val="1"/>
    <w:next w:val="7"/>
    <w:qFormat/>
    <w:uiPriority w:val="0"/>
    <w:pPr>
      <w:widowControl/>
      <w:spacing w:before="280" w:after="280"/>
    </w:pPr>
    <w:rPr>
      <w:rFonts w:ascii="宋体"/>
    </w:rPr>
  </w:style>
  <w:style w:type="paragraph" w:customStyle="1" w:styleId="7">
    <w:name w:val="正文缩进1"/>
    <w:basedOn w:val="1"/>
    <w:next w:val="8"/>
    <w:qFormat/>
    <w:uiPriority w:val="0"/>
    <w:pPr>
      <w:ind w:firstLine="420"/>
    </w:pPr>
    <w:rPr>
      <w:rFonts w:ascii="宋体"/>
      <w:sz w:val="28"/>
    </w:rPr>
  </w:style>
  <w:style w:type="paragraph" w:customStyle="1" w:styleId="8">
    <w:name w:val="td1"/>
    <w:basedOn w:val="1"/>
    <w:next w:val="1"/>
    <w:qFormat/>
    <w:uiPriority w:val="0"/>
    <w:pPr>
      <w:widowControl/>
      <w:spacing w:before="280" w:after="280" w:line="300" w:lineRule="atLeast"/>
      <w:ind w:firstLine="200"/>
    </w:pPr>
    <w:rPr>
      <w:color w:val="000000"/>
      <w:sz w:val="18"/>
    </w:rPr>
  </w:style>
  <w:style w:type="paragraph" w:styleId="9">
    <w:name w:val="toc 2"/>
    <w:basedOn w:val="1"/>
    <w:next w:val="2"/>
    <w:qFormat/>
    <w:uiPriority w:val="0"/>
    <w:pPr>
      <w:spacing w:before="997"/>
      <w:ind w:left="104"/>
    </w:pPr>
    <w:rPr>
      <w:rFonts w:ascii="宋体"/>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样式35"/>
    <w:basedOn w:val="1"/>
    <w:next w:val="15"/>
    <w:qFormat/>
    <w:uiPriority w:val="0"/>
    <w:pPr>
      <w:spacing w:line="312" w:lineRule="auto"/>
      <w:ind w:firstLine="567"/>
    </w:pPr>
    <w:rPr>
      <w:rFonts w:ascii="宋体"/>
      <w:sz w:val="28"/>
    </w:rPr>
  </w:style>
  <w:style w:type="paragraph" w:customStyle="1" w:styleId="15">
    <w:name w:val="font6"/>
    <w:basedOn w:val="1"/>
    <w:next w:val="9"/>
    <w:qFormat/>
    <w:uiPriority w:val="0"/>
    <w:pPr>
      <w:widowControl/>
      <w:spacing w:before="280" w:after="2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2987</Words>
  <Characters>3055</Characters>
  <Lines>0</Lines>
  <Paragraphs>0</Paragraphs>
  <TotalTime>0</TotalTime>
  <ScaleCrop>false</ScaleCrop>
  <LinksUpToDate>false</LinksUpToDate>
  <CharactersWithSpaces>3055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2022-09-23T18:59:00Z</dcterms:created>
  <dc:creator>雅琴</dc:creator>
  <cp:lastModifiedBy>罗海鹏</cp:lastModifiedBy>
  <cp:lastPrinted>2022-09-23T19:20:00Z</cp:lastPrinted>
  <dcterms:modified xsi:type="dcterms:W3CDTF">2023-06-25T19:10:15Z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7FF694AD534648FCAD35C776D73A77C0</vt:lpwstr>
  </property>
</Properties>
</file>