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                                                              </w:t>
      </w:r>
    </w:p>
    <w:p>
      <w:pPr>
        <w:jc w:val="right"/>
        <w:rPr>
          <w:rFonts w:ascii="宋体" w:hAnsi="宋体" w:cs="宋体"/>
          <w:b/>
          <w:bCs/>
          <w:kern w:val="0"/>
          <w:sz w:val="18"/>
          <w:szCs w:val="40"/>
          <w:highlight w:val="none"/>
        </w:rPr>
      </w:pPr>
    </w:p>
    <w:p>
      <w:pPr>
        <w:jc w:val="right"/>
        <w:rPr>
          <w:rFonts w:ascii="宋体" w:hAnsi="宋体" w:cs="宋体"/>
          <w:b/>
          <w:bCs/>
          <w:kern w:val="0"/>
          <w:sz w:val="18"/>
          <w:szCs w:val="40"/>
          <w:highlight w:val="none"/>
        </w:rPr>
      </w:pPr>
    </w:p>
    <w:p>
      <w:pPr>
        <w:ind w:left="-283" w:leftChars="-135"/>
        <w:jc w:val="center"/>
        <w:rPr>
          <w:rFonts w:ascii="宋体" w:hAnsi="宋体" w:cs="宋体"/>
          <w:b/>
          <w:bCs/>
          <w:kern w:val="0"/>
          <w:sz w:val="36"/>
          <w:szCs w:val="40"/>
          <w:highlight w:val="none"/>
        </w:rPr>
      </w:pPr>
    </w:p>
    <w:p>
      <w:pPr>
        <w:ind w:left="-283" w:leftChars="-135"/>
        <w:jc w:val="center"/>
        <w:rPr>
          <w:rFonts w:ascii="黑体" w:hAnsi="黑体" w:eastAsia="黑体" w:cs="宋体"/>
          <w:b/>
          <w:bCs/>
          <w:kern w:val="0"/>
          <w:sz w:val="72"/>
          <w:szCs w:val="40"/>
          <w:highlight w:val="none"/>
        </w:rPr>
      </w:pPr>
      <w:r>
        <w:rPr>
          <w:rFonts w:hint="eastAsia" w:ascii="黑体" w:hAnsi="黑体" w:eastAsia="黑体" w:cs="宋体"/>
          <w:b/>
          <w:bCs/>
          <w:kern w:val="0"/>
          <w:sz w:val="72"/>
          <w:szCs w:val="40"/>
          <w:highlight w:val="none"/>
        </w:rPr>
        <w:t>江门市城市管理系统行政处罚</w:t>
      </w:r>
    </w:p>
    <w:p>
      <w:pPr>
        <w:ind w:left="-283" w:leftChars="-135"/>
        <w:jc w:val="center"/>
        <w:rPr>
          <w:rFonts w:ascii="黑体" w:hAnsi="黑体" w:eastAsia="黑体" w:cs="宋体"/>
          <w:b/>
          <w:bCs/>
          <w:kern w:val="0"/>
          <w:sz w:val="72"/>
          <w:szCs w:val="40"/>
          <w:highlight w:val="none"/>
        </w:rPr>
      </w:pPr>
      <w:r>
        <w:rPr>
          <w:rFonts w:hint="eastAsia" w:ascii="黑体" w:hAnsi="黑体" w:eastAsia="黑体" w:cs="宋体"/>
          <w:b/>
          <w:bCs/>
          <w:kern w:val="0"/>
          <w:sz w:val="72"/>
          <w:szCs w:val="40"/>
          <w:highlight w:val="none"/>
        </w:rPr>
        <w:t>自由裁量权基准</w:t>
      </w:r>
    </w:p>
    <w:p>
      <w:pPr>
        <w:ind w:left="-283" w:leftChars="-135"/>
        <w:jc w:val="center"/>
        <w:rPr>
          <w:rFonts w:ascii="黑体" w:hAnsi="黑体" w:eastAsia="黑体" w:cs="宋体"/>
          <w:b/>
          <w:bCs/>
          <w:kern w:val="0"/>
          <w:sz w:val="52"/>
          <w:szCs w:val="40"/>
          <w:highlight w:val="none"/>
        </w:rPr>
      </w:pPr>
    </w:p>
    <w:p>
      <w:pPr>
        <w:pStyle w:val="6"/>
        <w:keepNext w:val="0"/>
        <w:keepLines w:val="0"/>
        <w:widowControl/>
        <w:suppressLineNumbers w:val="0"/>
        <w:spacing w:before="0" w:beforeAutospacing="0" w:after="0" w:afterAutospacing="0"/>
        <w:ind w:left="0" w:right="0" w:firstLine="0"/>
        <w:jc w:val="center"/>
        <w:rPr>
          <w:rFonts w:ascii="黑体" w:hAnsi="黑体" w:eastAsia="黑体" w:cs="宋体"/>
          <w:b/>
          <w:bCs/>
          <w:kern w:val="0"/>
          <w:sz w:val="52"/>
          <w:szCs w:val="40"/>
          <w:highlight w:val="none"/>
        </w:rPr>
      </w:pPr>
      <w:r>
        <w:rPr>
          <w:rFonts w:hint="eastAsia" w:ascii="黑体" w:hAnsi="黑体" w:eastAsia="黑体" w:cs="宋体"/>
          <w:b/>
          <w:bCs/>
          <w:kern w:val="0"/>
          <w:sz w:val="52"/>
          <w:szCs w:val="40"/>
          <w:highlight w:val="none"/>
        </w:rPr>
        <w:t>（</w:t>
      </w:r>
      <w:r>
        <w:rPr>
          <w:rFonts w:hint="default" w:ascii="黑体" w:hAnsi="黑体" w:eastAsia="黑体" w:cs="宋体"/>
          <w:b/>
          <w:bCs/>
          <w:kern w:val="0"/>
          <w:sz w:val="52"/>
          <w:szCs w:val="40"/>
          <w:highlight w:val="none"/>
          <w:lang w:val="en-US" w:eastAsia="zh-CN" w:bidi="ar"/>
        </w:rPr>
        <w:t>市容环境卫生类、户外广告类、扬尘污染类</w:t>
      </w:r>
      <w:r>
        <w:rPr>
          <w:rFonts w:hint="eastAsia" w:ascii="黑体" w:hAnsi="黑体" w:eastAsia="黑体" w:cs="宋体"/>
          <w:b/>
          <w:bCs/>
          <w:kern w:val="0"/>
          <w:sz w:val="52"/>
          <w:szCs w:val="40"/>
          <w:highlight w:val="none"/>
        </w:rPr>
        <w:t>）</w:t>
      </w:r>
    </w:p>
    <w:p>
      <w:pPr>
        <w:jc w:val="center"/>
        <w:rPr>
          <w:rFonts w:hint="default" w:ascii="黑体" w:hAnsi="黑体" w:eastAsia="黑体" w:cs="宋体"/>
          <w:b/>
          <w:bCs/>
          <w:kern w:val="0"/>
          <w:sz w:val="52"/>
          <w:szCs w:val="40"/>
          <w:highlight w:val="none"/>
          <w:lang w:val="en-US" w:eastAsia="zh-CN" w:bidi="ar"/>
        </w:rPr>
      </w:pPr>
      <w:r>
        <w:rPr>
          <w:rFonts w:hint="default" w:ascii="黑体" w:hAnsi="黑体" w:eastAsia="黑体" w:cs="宋体"/>
          <w:b/>
          <w:bCs/>
          <w:kern w:val="0"/>
          <w:sz w:val="52"/>
          <w:szCs w:val="40"/>
          <w:highlight w:val="none"/>
          <w:lang w:val="en-US" w:eastAsia="zh-CN" w:bidi="ar"/>
        </w:rPr>
        <w:t>（202</w:t>
      </w:r>
      <w:r>
        <w:rPr>
          <w:rFonts w:hint="default" w:ascii="黑体" w:hAnsi="黑体" w:eastAsia="黑体" w:cs="宋体"/>
          <w:b/>
          <w:bCs/>
          <w:kern w:val="0"/>
          <w:sz w:val="52"/>
          <w:szCs w:val="40"/>
          <w:highlight w:val="none"/>
          <w:lang w:eastAsia="zh-CN" w:bidi="ar"/>
        </w:rPr>
        <w:t>3</w:t>
      </w:r>
      <w:r>
        <w:rPr>
          <w:rFonts w:hint="default" w:ascii="黑体" w:hAnsi="黑体" w:eastAsia="黑体" w:cs="宋体"/>
          <w:b/>
          <w:bCs/>
          <w:kern w:val="0"/>
          <w:sz w:val="52"/>
          <w:szCs w:val="40"/>
          <w:highlight w:val="none"/>
          <w:lang w:val="en-US" w:eastAsia="zh-CN" w:bidi="ar"/>
        </w:rPr>
        <w:t>年修订）</w:t>
      </w:r>
    </w:p>
    <w:p>
      <w:pPr>
        <w:jc w:val="center"/>
        <w:rPr>
          <w:rFonts w:hint="default" w:ascii="仿宋_GB2312" w:hAnsi="仿宋_GB2312" w:eastAsia="仿宋_GB2312" w:cs="仿宋_GB2312"/>
          <w:b w:val="0"/>
          <w:bCs w:val="0"/>
          <w:kern w:val="0"/>
          <w:sz w:val="36"/>
          <w:szCs w:val="24"/>
          <w:highlight w:val="none"/>
        </w:rPr>
      </w:pPr>
      <w:r>
        <w:rPr>
          <w:rFonts w:hint="default" w:ascii="仿宋_GB2312" w:hAnsi="仿宋_GB2312" w:eastAsia="仿宋_GB2312" w:cs="仿宋_GB2312"/>
          <w:b w:val="0"/>
          <w:bCs w:val="0"/>
          <w:kern w:val="0"/>
          <w:sz w:val="36"/>
          <w:szCs w:val="24"/>
          <w:highlight w:val="none"/>
        </w:rPr>
        <w:t>（征求意见稿）</w:t>
      </w:r>
    </w:p>
    <w:p>
      <w:pPr>
        <w:ind w:left="-283" w:leftChars="-135"/>
        <w:jc w:val="center"/>
        <w:rPr>
          <w:rFonts w:ascii="黑体" w:hAnsi="黑体" w:eastAsia="黑体" w:cs="宋体"/>
          <w:b/>
          <w:bCs/>
          <w:kern w:val="0"/>
          <w:sz w:val="52"/>
          <w:szCs w:val="40"/>
          <w:highlight w:val="none"/>
        </w:rPr>
      </w:pPr>
    </w:p>
    <w:p>
      <w:pPr>
        <w:ind w:left="-283" w:leftChars="-135"/>
        <w:jc w:val="left"/>
        <w:rPr>
          <w:rFonts w:ascii="宋体" w:hAnsi="宋体" w:cs="宋体"/>
          <w:b/>
          <w:bCs/>
          <w:kern w:val="0"/>
          <w:sz w:val="36"/>
          <w:szCs w:val="40"/>
          <w:highlight w:val="none"/>
        </w:rPr>
      </w:pPr>
    </w:p>
    <w:p>
      <w:pPr>
        <w:jc w:val="center"/>
        <w:rPr>
          <w:rFonts w:ascii="宋体" w:hAnsi="宋体" w:cs="宋体"/>
          <w:b/>
          <w:bCs/>
          <w:kern w:val="0"/>
          <w:sz w:val="44"/>
          <w:szCs w:val="40"/>
          <w:highlight w:val="none"/>
        </w:rPr>
      </w:pPr>
    </w:p>
    <w:p>
      <w:pPr>
        <w:jc w:val="center"/>
        <w:rPr>
          <w:rFonts w:ascii="宋体" w:hAnsi="宋体" w:cs="宋体"/>
          <w:b/>
          <w:bCs/>
          <w:kern w:val="0"/>
          <w:sz w:val="44"/>
          <w:szCs w:val="40"/>
          <w:highlight w:val="none"/>
        </w:rPr>
      </w:pPr>
      <w:r>
        <w:rPr>
          <w:rFonts w:hint="eastAsia" w:ascii="宋体" w:hAnsi="宋体" w:cs="宋体"/>
          <w:b/>
          <w:bCs/>
          <w:kern w:val="0"/>
          <w:sz w:val="44"/>
          <w:szCs w:val="40"/>
          <w:highlight w:val="none"/>
        </w:rPr>
        <w:t>第一部分  市容环境卫生类</w:t>
      </w:r>
    </w:p>
    <w:p>
      <w:pPr>
        <w:rPr>
          <w:rFonts w:ascii="宋体" w:hAnsi="宋体" w:cs="宋体"/>
          <w:b/>
          <w:bCs/>
          <w:color w:val="000000" w:themeColor="text1"/>
          <w:kern w:val="0"/>
          <w:szCs w:val="21"/>
          <w:highlight w:val="none"/>
          <w14:textFill>
            <w14:solidFill>
              <w14:schemeClr w14:val="tx1"/>
            </w14:solidFill>
          </w14:textFill>
        </w:rPr>
      </w:pPr>
    </w:p>
    <w:tbl>
      <w:tblPr>
        <w:tblStyle w:val="7"/>
        <w:tblW w:w="14721" w:type="dxa"/>
        <w:jc w:val="center"/>
        <w:tblLayout w:type="fixed"/>
        <w:tblCellMar>
          <w:top w:w="0" w:type="dxa"/>
          <w:left w:w="108" w:type="dxa"/>
          <w:bottom w:w="0" w:type="dxa"/>
          <w:right w:w="108" w:type="dxa"/>
        </w:tblCellMar>
      </w:tblPr>
      <w:tblGrid>
        <w:gridCol w:w="614"/>
        <w:gridCol w:w="2030"/>
        <w:gridCol w:w="1823"/>
        <w:gridCol w:w="2034"/>
        <w:gridCol w:w="833"/>
        <w:gridCol w:w="2974"/>
        <w:gridCol w:w="2629"/>
        <w:gridCol w:w="1784"/>
      </w:tblGrid>
      <w:tr>
        <w:tblPrEx>
          <w:tblCellMar>
            <w:top w:w="0" w:type="dxa"/>
            <w:left w:w="108" w:type="dxa"/>
            <w:bottom w:w="0" w:type="dxa"/>
            <w:right w:w="108" w:type="dxa"/>
          </w:tblCellMar>
        </w:tblPrEx>
        <w:trPr>
          <w:trHeight w:val="660" w:hRule="atLeast"/>
          <w:jc w:val="center"/>
        </w:trPr>
        <w:tc>
          <w:tcPr>
            <w:tcW w:w="6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序号</w:t>
            </w:r>
          </w:p>
        </w:tc>
        <w:tc>
          <w:tcPr>
            <w:tcW w:w="203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kern w:val="0"/>
                <w:sz w:val="24"/>
                <w:szCs w:val="21"/>
                <w:highlight w:val="none"/>
              </w:rPr>
              <w:t>违法违规行为</w:t>
            </w:r>
          </w:p>
        </w:tc>
        <w:tc>
          <w:tcPr>
            <w:tcW w:w="182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kern w:val="0"/>
                <w:sz w:val="24"/>
                <w:szCs w:val="21"/>
                <w:highlight w:val="none"/>
              </w:rPr>
              <w:t>处罚法律依据</w:t>
            </w:r>
          </w:p>
        </w:tc>
        <w:tc>
          <w:tcPr>
            <w:tcW w:w="20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kern w:val="0"/>
                <w:sz w:val="24"/>
                <w:szCs w:val="21"/>
                <w:highlight w:val="none"/>
              </w:rPr>
              <w:t>法定处罚标准</w:t>
            </w:r>
          </w:p>
        </w:tc>
        <w:tc>
          <w:tcPr>
            <w:tcW w:w="8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1"/>
                <w:highlight w:val="none"/>
              </w:rPr>
              <w:t>裁量档次</w:t>
            </w:r>
          </w:p>
        </w:tc>
        <w:tc>
          <w:tcPr>
            <w:tcW w:w="297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违法</w:t>
            </w:r>
            <w:r>
              <w:rPr>
                <w:rFonts w:hint="eastAsia" w:ascii="宋体" w:hAnsi="宋体" w:cs="宋体"/>
                <w:b/>
                <w:bCs/>
                <w:kern w:val="0"/>
                <w:sz w:val="24"/>
                <w:szCs w:val="21"/>
                <w:highlight w:val="none"/>
              </w:rPr>
              <w:t>情节和</w:t>
            </w:r>
            <w:r>
              <w:rPr>
                <w:rFonts w:hint="eastAsia" w:ascii="宋体" w:hAnsi="宋体" w:cs="宋体"/>
                <w:b/>
                <w:bCs/>
                <w:kern w:val="0"/>
                <w:sz w:val="24"/>
                <w:szCs w:val="24"/>
                <w:highlight w:val="none"/>
              </w:rPr>
              <w:t>后果</w:t>
            </w:r>
          </w:p>
        </w:tc>
        <w:tc>
          <w:tcPr>
            <w:tcW w:w="262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处罚自由裁量基准</w:t>
            </w:r>
          </w:p>
        </w:tc>
        <w:tc>
          <w:tcPr>
            <w:tcW w:w="178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其他处理</w:t>
            </w:r>
          </w:p>
        </w:tc>
      </w:tr>
      <w:tr>
        <w:tblPrEx>
          <w:tblCellMar>
            <w:top w:w="0" w:type="dxa"/>
            <w:left w:w="108" w:type="dxa"/>
            <w:bottom w:w="0" w:type="dxa"/>
            <w:right w:w="108" w:type="dxa"/>
          </w:tblCellMar>
        </w:tblPrEx>
        <w:trPr>
          <w:trHeight w:val="345" w:hRule="atLeast"/>
          <w:jc w:val="center"/>
        </w:trPr>
        <w:tc>
          <w:tcPr>
            <w:tcW w:w="6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w:t>
            </w:r>
          </w:p>
        </w:tc>
        <w:tc>
          <w:tcPr>
            <w:tcW w:w="203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主次干道两侧和临街的建筑物、构筑物容貌不符合城市容貌标准的</w:t>
            </w:r>
          </w:p>
        </w:tc>
        <w:tc>
          <w:tcPr>
            <w:tcW w:w="182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《江门市城市市容和环境卫生管理条例》第四十四条第一项规定</w:t>
            </w:r>
          </w:p>
        </w:tc>
        <w:tc>
          <w:tcPr>
            <w:tcW w:w="20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责令有关单位和个人限期改正；逾期不改正的，处以五百元以上五千元以下的罚款</w:t>
            </w: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nil"/>
              <w:bottom w:val="single" w:color="auto" w:sz="4" w:space="0"/>
              <w:right w:val="nil"/>
            </w:tcBorders>
            <w:shd w:val="clear" w:color="auto" w:fill="auto"/>
            <w:noWrap/>
            <w:vAlign w:val="center"/>
          </w:tcPr>
          <w:p>
            <w:pPr>
              <w:widowControl/>
              <w:spacing w:line="0" w:lineRule="atLeast"/>
              <w:contextualSpacing/>
              <w:jc w:val="left"/>
              <w:rPr>
                <w:rFonts w:hint="default"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建（构）筑物外立面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有1-3处</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乱张贴、乱涂写、乱刻画</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、不整洁的，或有1处不完好的</w:t>
            </w:r>
          </w:p>
        </w:tc>
        <w:tc>
          <w:tcPr>
            <w:tcW w:w="2629"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处500元以上2000元以下罚款</w:t>
            </w:r>
          </w:p>
        </w:tc>
        <w:tc>
          <w:tcPr>
            <w:tcW w:w="1784" w:type="dxa"/>
            <w:tcBorders>
              <w:top w:val="nil"/>
              <w:left w:val="single" w:color="auto" w:sz="4" w:space="0"/>
              <w:bottom w:val="single" w:color="auto" w:sz="4" w:space="0"/>
              <w:right w:val="single" w:color="auto" w:sz="4" w:space="0"/>
            </w:tcBorders>
            <w:vAlign w:val="center"/>
          </w:tcPr>
          <w:p>
            <w:pPr>
              <w:widowControl/>
              <w:spacing w:line="0" w:lineRule="atLeast"/>
              <w:contextualSpacing/>
              <w:jc w:val="left"/>
              <w:rPr>
                <w:rFonts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139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left"/>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hint="default"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建（构）筑物外立面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有4-6处</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乱张贴、乱涂写、乱刻画</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、不整洁的，或有2-3处不完好的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处2000元以上3500元以下罚款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69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left"/>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建（构）筑物外立面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有7处以上处</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乱张贴、乱涂写、乱刻画</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、不整洁的，或有4处以上不完好的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处3500元以上5000元以下罚款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345" w:hRule="atLeast"/>
          <w:jc w:val="center"/>
        </w:trPr>
        <w:tc>
          <w:tcPr>
            <w:tcW w:w="6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2</w:t>
            </w:r>
          </w:p>
        </w:tc>
        <w:tc>
          <w:tcPr>
            <w:tcW w:w="203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利用公共设施、景观设施或者管线晾晒衣服、摆放物品的</w:t>
            </w:r>
          </w:p>
        </w:tc>
        <w:tc>
          <w:tcPr>
            <w:tcW w:w="1823"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《江门市城市市容和环境卫生管理条例》第四十四条第二项规定</w:t>
            </w:r>
          </w:p>
        </w:tc>
        <w:tc>
          <w:tcPr>
            <w:tcW w:w="2034"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责令改正；拒不改正的，处以五十元以上二百元以下的罚款</w:t>
            </w: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1-5件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衣服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物品的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处以50元以上100元以下的罚款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138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2" w:space="0"/>
              <w:right w:val="nil"/>
            </w:tcBorders>
            <w:shd w:val="clear" w:color="auto" w:fill="auto"/>
            <w:noWrap/>
            <w:vAlign w:val="center"/>
          </w:tcPr>
          <w:p>
            <w:pPr>
              <w:widowControl/>
              <w:spacing w:line="0" w:lineRule="atLeast"/>
              <w:contextualSpacing/>
              <w:rPr>
                <w:rFonts w:hint="default" w:ascii="微软雅黑" w:hAnsi="微软雅黑" w:eastAsia="微软雅黑" w:cs="宋体"/>
                <w:kern w:val="0"/>
                <w:sz w:val="24"/>
                <w:szCs w:val="24"/>
                <w:highlight w:val="none"/>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6-10件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衣服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物品的</w:t>
            </w:r>
          </w:p>
        </w:tc>
        <w:tc>
          <w:tcPr>
            <w:tcW w:w="2629" w:type="dxa"/>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处以100元以上150元以下的罚款</w:t>
            </w:r>
          </w:p>
        </w:tc>
        <w:tc>
          <w:tcPr>
            <w:tcW w:w="1784" w:type="dxa"/>
            <w:tcBorders>
              <w:top w:val="single" w:color="auto"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2555" w:hRule="atLeast"/>
          <w:jc w:val="center"/>
        </w:trPr>
        <w:tc>
          <w:tcPr>
            <w:tcW w:w="614" w:type="dxa"/>
            <w:vMerge w:val="continue"/>
            <w:tcBorders>
              <w:top w:val="nil"/>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11件以上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衣服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物品的</w:t>
            </w:r>
          </w:p>
        </w:tc>
        <w:tc>
          <w:tcPr>
            <w:tcW w:w="2629"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处以150元以上200元以下的罚款</w:t>
            </w:r>
          </w:p>
        </w:tc>
        <w:tc>
          <w:tcPr>
            <w:tcW w:w="1784" w:type="dxa"/>
            <w:tcBorders>
              <w:top w:val="single" w:color="auto" w:sz="2"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690" w:hRule="atLeast"/>
          <w:jc w:val="center"/>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3</w:t>
            </w:r>
          </w:p>
        </w:tc>
        <w:tc>
          <w:tcPr>
            <w:tcW w:w="203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擅自占用城市道路、桥梁、地下通道、公共广场以及其他公共场所堆放物料，或者经批准临时堆放物料到期后未及时清理的</w:t>
            </w:r>
          </w:p>
        </w:tc>
        <w:tc>
          <w:tcPr>
            <w:tcW w:w="1823"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《江门市城市市容和环境卫生管理条例》第四十四条第三项规定</w:t>
            </w:r>
          </w:p>
        </w:tc>
        <w:tc>
          <w:tcPr>
            <w:tcW w:w="20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责令限期清理，可处以二千元以上二万元以下罚款</w:t>
            </w: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擅自堆放物料1平方米（或立方米）以内，或者经批准临时堆放物料到期后1天内未及时清理的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处以2000元以上8000元以下的罚款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责令限期清理</w:t>
            </w:r>
          </w:p>
        </w:tc>
      </w:tr>
      <w:tr>
        <w:tblPrEx>
          <w:tblCellMar>
            <w:top w:w="0" w:type="dxa"/>
            <w:left w:w="108" w:type="dxa"/>
            <w:bottom w:w="0" w:type="dxa"/>
            <w:right w:w="108" w:type="dxa"/>
          </w:tblCellMar>
        </w:tblPrEx>
        <w:trPr>
          <w:trHeight w:val="69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擅自堆放物料1平方米（或立方米）以上3平方米（或立方米）以内，或者经批准临时堆放物料到期后2天内未及时清理的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处以8000元以上1.4万元以下的罚款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责令限期清理</w:t>
            </w:r>
          </w:p>
        </w:tc>
      </w:tr>
      <w:tr>
        <w:tblPrEx>
          <w:tblCellMar>
            <w:top w:w="0" w:type="dxa"/>
            <w:left w:w="108" w:type="dxa"/>
            <w:bottom w:w="0" w:type="dxa"/>
            <w:right w:w="108" w:type="dxa"/>
          </w:tblCellMar>
        </w:tblPrEx>
        <w:trPr>
          <w:trHeight w:val="1035"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擅自堆放物料3平方米（或立方米）以上，或者经批准临时堆放物料到期后3天以上未及时清理的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处以1.4万元以上2万元以下的罚款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责令限期清理</w:t>
            </w:r>
          </w:p>
        </w:tc>
      </w:tr>
      <w:tr>
        <w:tblPrEx>
          <w:tblCellMar>
            <w:top w:w="0" w:type="dxa"/>
            <w:left w:w="108" w:type="dxa"/>
            <w:bottom w:w="0" w:type="dxa"/>
            <w:right w:w="108" w:type="dxa"/>
          </w:tblCellMar>
        </w:tblPrEx>
        <w:trPr>
          <w:trHeight w:val="345" w:hRule="atLeast"/>
          <w:jc w:val="center"/>
        </w:trPr>
        <w:tc>
          <w:tcPr>
            <w:tcW w:w="6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w:t>
            </w:r>
          </w:p>
        </w:tc>
        <w:tc>
          <w:tcPr>
            <w:tcW w:w="203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擅自在城市道路、桥梁、地下通道、公共广场以及其他公共场所搭建临时建筑物、构筑物或者其他设施，或者经批准临时建设到期后未及时拆除的</w:t>
            </w:r>
          </w:p>
        </w:tc>
        <w:tc>
          <w:tcPr>
            <w:tcW w:w="1823"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《江门市城市市容和环境卫生管理条例》第四十四条第三项规定</w:t>
            </w:r>
          </w:p>
        </w:tc>
        <w:tc>
          <w:tcPr>
            <w:tcW w:w="2034"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责令限期拆除；逾期未拆除的，依法强制拆除，可以并处临时建设工程造价一倍以下的罚款</w:t>
            </w: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擅自搭建且逾期未拆除，面积在2平方米以内的；或者经批准的临时建设超过责令拆除限期1日内未拆除的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处临时建设工程造价0.3倍以下的罚款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依法强制拆除</w:t>
            </w:r>
          </w:p>
        </w:tc>
      </w:tr>
      <w:tr>
        <w:tblPrEx>
          <w:tblCellMar>
            <w:top w:w="0" w:type="dxa"/>
            <w:left w:w="108" w:type="dxa"/>
            <w:bottom w:w="0" w:type="dxa"/>
            <w:right w:w="108" w:type="dxa"/>
          </w:tblCellMar>
        </w:tblPrEx>
        <w:trPr>
          <w:trHeight w:val="1637"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擅自搭建且逾期未拆除，面积在2平方米以上10平方米以内的；或者经批准的临时建设超过责令拆除限期2日内未拆除的</w:t>
            </w:r>
          </w:p>
        </w:tc>
        <w:tc>
          <w:tcPr>
            <w:tcW w:w="2629"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处临时建设工程造价0.3倍以上0.6倍以下的罚款</w:t>
            </w:r>
          </w:p>
        </w:tc>
        <w:tc>
          <w:tcPr>
            <w:tcW w:w="1784" w:type="dxa"/>
            <w:tcBorders>
              <w:top w:val="single" w:color="auto" w:sz="4" w:space="0"/>
              <w:left w:val="nil"/>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依法强制拆除</w:t>
            </w:r>
          </w:p>
        </w:tc>
      </w:tr>
      <w:tr>
        <w:tblPrEx>
          <w:tblCellMar>
            <w:top w:w="0" w:type="dxa"/>
            <w:left w:w="108" w:type="dxa"/>
            <w:bottom w:w="0" w:type="dxa"/>
            <w:right w:w="108" w:type="dxa"/>
          </w:tblCellMar>
        </w:tblPrEx>
        <w:trPr>
          <w:trHeight w:val="690" w:hRule="atLeast"/>
          <w:jc w:val="center"/>
        </w:trPr>
        <w:tc>
          <w:tcPr>
            <w:tcW w:w="614" w:type="dxa"/>
            <w:vMerge w:val="continue"/>
            <w:tcBorders>
              <w:top w:val="nil"/>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擅自搭建且逾期未拆除，面积在10平方米以上的；或者经批准的临时建设超过责令拆除限期3日以上未拆除的</w:t>
            </w:r>
          </w:p>
        </w:tc>
        <w:tc>
          <w:tcPr>
            <w:tcW w:w="2629"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处临时建设工程造价0.6倍以上1倍以下的罚款</w:t>
            </w:r>
          </w:p>
        </w:tc>
        <w:tc>
          <w:tcPr>
            <w:tcW w:w="1784" w:type="dxa"/>
            <w:tcBorders>
              <w:top w:val="single" w:color="auto" w:sz="2"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依法强制拆除</w:t>
            </w:r>
          </w:p>
        </w:tc>
      </w:tr>
      <w:tr>
        <w:tblPrEx>
          <w:tblCellMar>
            <w:top w:w="0" w:type="dxa"/>
            <w:left w:w="108" w:type="dxa"/>
            <w:bottom w:w="0" w:type="dxa"/>
            <w:right w:w="108" w:type="dxa"/>
          </w:tblCellMar>
        </w:tblPrEx>
        <w:trPr>
          <w:trHeight w:val="1119" w:hRule="atLeast"/>
          <w:jc w:val="center"/>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5</w:t>
            </w:r>
          </w:p>
        </w:tc>
        <w:tc>
          <w:tcPr>
            <w:tcW w:w="2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经营者擅自超出门、窗、外墙进行店外经营、作业或者摆设商品、桌椅、广告牌等物品的</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《江门市城市市容和环境卫生管理条例》第四十四条第四项规定</w:t>
            </w:r>
          </w:p>
        </w:tc>
        <w:tc>
          <w:tcPr>
            <w:tcW w:w="20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责令改正；拒不改正的，处以五百元以上二千元以下的罚款</w:t>
            </w: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ascii="仿宋_GB2312" w:hAnsi="微软雅黑" w:eastAsia="仿宋_GB2312" w:cs="宋体"/>
                <w:color w:val="000000" w:themeColor="text1"/>
                <w:kern w:val="0"/>
                <w:sz w:val="24"/>
                <w:szCs w:val="24"/>
                <w:highlight w:val="none"/>
                <w14:textFill>
                  <w14:solidFill>
                    <w14:schemeClr w14:val="tx1"/>
                  </w14:solidFill>
                </w14:textFill>
              </w:rPr>
              <w:t>占地</w:t>
            </w:r>
            <w:r>
              <w:rPr>
                <w:rFonts w:hint="default" w:ascii="仿宋_GB2312" w:hAnsi="微软雅黑" w:eastAsia="仿宋_GB2312" w:cs="宋体"/>
                <w:color w:val="000000" w:themeColor="text1"/>
                <w:kern w:val="0"/>
                <w:sz w:val="24"/>
                <w:szCs w:val="24"/>
                <w:highlight w:val="none"/>
                <w14:textFill>
                  <w14:solidFill>
                    <w14:schemeClr w14:val="tx1"/>
                  </w14:solidFill>
                </w14:textFill>
              </w:rPr>
              <w:t>3平方米以下的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处以500元以上1000元以下的罚款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12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ascii="仿宋_GB2312" w:hAnsi="微软雅黑" w:eastAsia="仿宋_GB2312" w:cs="宋体"/>
                <w:color w:val="000000" w:themeColor="text1"/>
                <w:kern w:val="0"/>
                <w:sz w:val="24"/>
                <w:szCs w:val="24"/>
                <w:highlight w:val="none"/>
                <w14:textFill>
                  <w14:solidFill>
                    <w14:schemeClr w14:val="tx1"/>
                  </w14:solidFill>
                </w14:textFill>
              </w:rPr>
              <w:t>占地</w:t>
            </w:r>
            <w:r>
              <w:rPr>
                <w:rFonts w:hint="default" w:ascii="仿宋_GB2312" w:hAnsi="微软雅黑" w:eastAsia="仿宋_GB2312" w:cs="宋体"/>
                <w:color w:val="000000" w:themeColor="text1"/>
                <w:kern w:val="0"/>
                <w:sz w:val="24"/>
                <w:szCs w:val="24"/>
                <w:highlight w:val="none"/>
                <w14:textFill>
                  <w14:solidFill>
                    <w14:schemeClr w14:val="tx1"/>
                  </w14:solidFill>
                </w14:textFill>
              </w:rPr>
              <w:t>3平方米以上6平方米以下的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处以1000元以上1500元以下的罚款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994"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ascii="仿宋_GB2312" w:hAnsi="微软雅黑" w:eastAsia="仿宋_GB2312" w:cs="宋体"/>
                <w:color w:val="000000" w:themeColor="text1"/>
                <w:kern w:val="0"/>
                <w:sz w:val="24"/>
                <w:szCs w:val="24"/>
                <w:highlight w:val="none"/>
                <w14:textFill>
                  <w14:solidFill>
                    <w14:schemeClr w14:val="tx1"/>
                  </w14:solidFill>
                </w14:textFill>
              </w:rPr>
              <w:t>占地</w:t>
            </w:r>
            <w:r>
              <w:rPr>
                <w:rFonts w:hint="default" w:ascii="仿宋_GB2312" w:hAnsi="微软雅黑" w:eastAsia="仿宋_GB2312" w:cs="宋体"/>
                <w:color w:val="000000" w:themeColor="text1"/>
                <w:kern w:val="0"/>
                <w:sz w:val="24"/>
                <w:szCs w:val="24"/>
                <w:highlight w:val="none"/>
                <w14:textFill>
                  <w14:solidFill>
                    <w14:schemeClr w14:val="tx1"/>
                  </w14:solidFill>
                </w14:textFill>
              </w:rPr>
              <w:t>6平方米以上的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处以1500元以上2000元以下的罚款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6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6</w:t>
            </w:r>
          </w:p>
        </w:tc>
        <w:tc>
          <w:tcPr>
            <w:tcW w:w="203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擅自占用城市道路、桥梁、地下通道、公共停车位、公共广场、公共绿地以及其他公共场所设摊经营、兜售物品或者进行文艺表演的</w:t>
            </w:r>
          </w:p>
        </w:tc>
        <w:tc>
          <w:tcPr>
            <w:tcW w:w="1823"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《江门市城市市容和环境卫生管理条例》第四十四条第五项规定</w:t>
            </w:r>
          </w:p>
        </w:tc>
        <w:tc>
          <w:tcPr>
            <w:tcW w:w="2034"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责令改正，处以五十元以上二百元以下的罚款</w:t>
            </w: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擅自占用面积1平方米以内的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责令改正，处以50元以上100元以下的罚款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69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擅自占用面积1平方米以上2平方米以内的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处以100元以上150元以下的罚款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3458" w:hRule="atLeast"/>
          <w:jc w:val="center"/>
        </w:trPr>
        <w:tc>
          <w:tcPr>
            <w:tcW w:w="614" w:type="dxa"/>
            <w:vMerge w:val="continue"/>
            <w:tcBorders>
              <w:top w:val="nil"/>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擅自占用面积2平方米以上的</w:t>
            </w:r>
          </w:p>
        </w:tc>
        <w:tc>
          <w:tcPr>
            <w:tcW w:w="2629"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处以150元以上200元以下的罚款</w:t>
            </w:r>
          </w:p>
        </w:tc>
        <w:tc>
          <w:tcPr>
            <w:tcW w:w="1784" w:type="dxa"/>
            <w:tcBorders>
              <w:top w:val="single" w:color="auto" w:sz="4" w:space="0"/>
              <w:left w:val="nil"/>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345" w:hRule="atLeast"/>
          <w:jc w:val="center"/>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7</w:t>
            </w:r>
          </w:p>
        </w:tc>
        <w:tc>
          <w:tcPr>
            <w:tcW w:w="2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擅自在城市建筑物、设施上张挂、张贴宣传品等，在建筑物、构筑物、城市道路、树木以及其他户外设施或者公共场所涂写、刻画，或者经批准设置临时宣传品到期后未及时清理的</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《江门市城市市容和环境卫生管理条例》第四十四条第六项规定</w:t>
            </w:r>
          </w:p>
        </w:tc>
        <w:tc>
          <w:tcPr>
            <w:tcW w:w="20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责令限期清理；拒不清理的，处以五百元以上五千元以下的罚款</w:t>
            </w:r>
          </w:p>
        </w:tc>
        <w:tc>
          <w:tcPr>
            <w:tcW w:w="833" w:type="dxa"/>
            <w:tcBorders>
              <w:top w:val="single" w:color="auto" w:sz="2"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2" w:space="0"/>
              <w:left w:val="nil"/>
              <w:bottom w:val="single" w:color="auto" w:sz="4" w:space="0"/>
              <w:right w:val="single" w:color="auto" w:sz="4" w:space="0"/>
            </w:tcBorders>
            <w:shd w:val="clear" w:color="auto" w:fill="auto"/>
            <w:noWrap/>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擅自张挂、张贴宣传品0.5平方米以内且逾期不清理的；或者擅自张贴同一宣传品5张内且逾期不清理的；或者涂写、刻画1处且逾期不清理的；或者临时宣传品到期后超过责令清理限期1日内未清理的</w:t>
            </w:r>
          </w:p>
        </w:tc>
        <w:tc>
          <w:tcPr>
            <w:tcW w:w="2629"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处以500元以上2000元以下罚款 </w:t>
            </w:r>
          </w:p>
        </w:tc>
        <w:tc>
          <w:tcPr>
            <w:tcW w:w="1784" w:type="dxa"/>
            <w:tcBorders>
              <w:top w:val="single" w:color="auto" w:sz="2"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张挂、张贴宣传品0.5平方米以上1平方米以内且逾期不清理的；或者擅自张贴同一宣传品5张以上10张内且逾期不清理的；或者涂写、刻画2处且逾期不清理的；或者临时宣传品到期后超过责令清理限期2日内未清理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处以2000元以上3500元以下罚款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69"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擅自张挂、张贴宣传1平方米以上且逾期不清理的；或者擅自张贴同一宣传品10张以上且逾期不清理的；或者涂写、刻画3处以上且逾期不清理的；或者临时宣传品到期后超过责令清理限期3日以上未清理的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处以3500元以上5000元以下罚款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614"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8</w:t>
            </w:r>
          </w:p>
        </w:tc>
        <w:tc>
          <w:tcPr>
            <w:tcW w:w="203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往他人交通工具上投放印刷品的</w:t>
            </w:r>
          </w:p>
        </w:tc>
        <w:tc>
          <w:tcPr>
            <w:tcW w:w="1823"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《江门市城市市容和环境卫生管理条例》第四十四条第七项规定</w:t>
            </w:r>
          </w:p>
        </w:tc>
        <w:tc>
          <w:tcPr>
            <w:tcW w:w="2034"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责令改正；拒不改正的，处以二百元以上二千元以下的罚款</w:t>
            </w: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投放印刷品5处以内且拒不改正的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处以200元以上800元以下的罚款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61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投放印刷品5处以上10处以内且拒不改正的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处以800元以上1400元以下的罚款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61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投放印刷品10处以上且拒不改正的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处以1400元以上2000元以下的罚款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614" w:type="dxa"/>
            <w:vMerge w:val="restart"/>
            <w:tcBorders>
              <w:top w:val="single" w:color="000000" w:sz="4" w:space="0"/>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9</w:t>
            </w:r>
          </w:p>
        </w:tc>
        <w:tc>
          <w:tcPr>
            <w:tcW w:w="2030" w:type="dxa"/>
            <w:vMerge w:val="restart"/>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阻碍或者以设置地锁、地桩等障碍物的方式妨碍他人在城市道路停车泊位上停车的</w:t>
            </w:r>
          </w:p>
        </w:tc>
        <w:tc>
          <w:tcPr>
            <w:tcW w:w="1823" w:type="dxa"/>
            <w:vMerge w:val="restart"/>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《江门市文明行为促进条例</w:t>
            </w:r>
          </w:p>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》第四十八条</w:t>
            </w:r>
          </w:p>
        </w:tc>
        <w:tc>
          <w:tcPr>
            <w:tcW w:w="2034" w:type="dxa"/>
            <w:vMerge w:val="restart"/>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责令改正，可以处二百元以上二千元以下罚款</w:t>
            </w: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阻碍或者妨碍1个停车位的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处200元以上400元以下罚款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jc w:val="lef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690" w:hRule="atLeast"/>
          <w:jc w:val="center"/>
        </w:trPr>
        <w:tc>
          <w:tcPr>
            <w:tcW w:w="614" w:type="dxa"/>
            <w:vMerge w:val="continue"/>
            <w:tcBorders>
              <w:left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阻碍或者妨碍2个以上5个以下停车位的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处400元以上1000元以下罚款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690" w:hRule="atLeast"/>
          <w:jc w:val="center"/>
        </w:trPr>
        <w:tc>
          <w:tcPr>
            <w:tcW w:w="614" w:type="dxa"/>
            <w:vMerge w:val="continue"/>
            <w:tcBorders>
              <w:left w:val="single" w:color="auto" w:sz="4" w:space="0"/>
              <w:bottom w:val="single" w:color="auto" w:sz="2"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阻碍或者妨碍5个以上停车位的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处1000元以上2000元以下罚款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690" w:hRule="atLeast"/>
          <w:jc w:val="center"/>
        </w:trPr>
        <w:tc>
          <w:tcPr>
            <w:tcW w:w="614" w:type="dxa"/>
            <w:vMerge w:val="restart"/>
            <w:tcBorders>
              <w:top w:val="single" w:color="000000" w:sz="4" w:space="0"/>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p>
        </w:tc>
        <w:tc>
          <w:tcPr>
            <w:tcW w:w="2030" w:type="dxa"/>
            <w:vMerge w:val="restart"/>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在公共场所上空、楼宇之间新建架空管线设施,不符合城市容貌标准的</w:t>
            </w:r>
          </w:p>
        </w:tc>
        <w:tc>
          <w:tcPr>
            <w:tcW w:w="1823" w:type="dxa"/>
            <w:vMerge w:val="restart"/>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hint="eastAsia"/>
                <w:highlight w:val="none"/>
              </w:rPr>
            </w:pPr>
            <w:r>
              <w:rPr>
                <w:rFonts w:hint="eastAsia"/>
                <w:highlight w:val="none"/>
              </w:rPr>
              <w:t>《江门市文明行为促进条例》第四十九条</w:t>
            </w:r>
          </w:p>
          <w:p>
            <w:pPr>
              <w:widowControl/>
              <w:spacing w:line="0" w:lineRule="atLeast"/>
              <w:contextualSpacing/>
              <w:rPr>
                <w:rFonts w:hint="default"/>
                <w:highlight w:val="none"/>
              </w:rPr>
            </w:pPr>
            <w:r>
              <w:rPr>
                <w:rFonts w:hint="default" w:eastAsia="宋体"/>
                <w:highlight w:val="none"/>
              </w:rPr>
              <w:t>《</w:t>
            </w:r>
            <w:r>
              <w:rPr>
                <w:rFonts w:hint="eastAsia" w:eastAsia="宋体"/>
                <w:highlight w:val="none"/>
              </w:rPr>
              <w:t>江门市城市市容和环境卫生管理条例</w:t>
            </w:r>
            <w:r>
              <w:rPr>
                <w:rFonts w:hint="default" w:eastAsia="宋体"/>
                <w:highlight w:val="none"/>
              </w:rPr>
              <w:t>》</w:t>
            </w:r>
            <w:r>
              <w:rPr>
                <w:rFonts w:hint="eastAsia"/>
                <w:highlight w:val="none"/>
              </w:rPr>
              <w:t>第四十</w:t>
            </w:r>
            <w:r>
              <w:rPr>
                <w:rFonts w:hint="default"/>
                <w:highlight w:val="none"/>
              </w:rPr>
              <w:t>四</w:t>
            </w:r>
            <w:r>
              <w:rPr>
                <w:rFonts w:hint="eastAsia"/>
                <w:highlight w:val="none"/>
              </w:rPr>
              <w:t>条</w:t>
            </w:r>
            <w:r>
              <w:rPr>
                <w:rFonts w:hint="default"/>
                <w:highlight w:val="none"/>
              </w:rPr>
              <w:t>第一项</w:t>
            </w:r>
          </w:p>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restart"/>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hint="eastAsia" w:eastAsia="宋体"/>
                <w:highlight w:val="none"/>
              </w:rPr>
            </w:pPr>
            <w:r>
              <w:rPr>
                <w:rFonts w:hint="eastAsia"/>
                <w:highlight w:val="none"/>
              </w:rPr>
              <w:t>《江门市文明行为促进条例》</w:t>
            </w:r>
            <w:r>
              <w:rPr>
                <w:rFonts w:hint="default"/>
                <w:highlight w:val="none"/>
              </w:rPr>
              <w:t>：</w:t>
            </w:r>
            <w:r>
              <w:rPr>
                <w:rFonts w:hint="eastAsia" w:eastAsia="宋体"/>
                <w:highlight w:val="none"/>
              </w:rPr>
              <w:t>依法给与罚款的，处五百元以上五千元以下罚款</w:t>
            </w:r>
          </w:p>
          <w:p>
            <w:pPr>
              <w:pStyle w:val="2"/>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default" w:eastAsia="宋体"/>
                <w:highlight w:val="none"/>
              </w:rPr>
              <w:t>《</w:t>
            </w:r>
            <w:r>
              <w:rPr>
                <w:rFonts w:hint="eastAsia" w:eastAsia="宋体"/>
                <w:highlight w:val="none"/>
              </w:rPr>
              <w:t>江门市城市市容和环境卫生管理条例</w:t>
            </w:r>
            <w:r>
              <w:rPr>
                <w:rFonts w:hint="default" w:eastAsia="宋体"/>
                <w:highlight w:val="none"/>
              </w:rPr>
              <w:t>》:</w:t>
            </w:r>
            <w:r>
              <w:rPr>
                <w:rFonts w:hint="eastAsia" w:ascii="Calibri" w:hAnsi="Calibri" w:eastAsia="宋体" w:cs="Times New Roman"/>
                <w:kern w:val="2"/>
                <w:sz w:val="21"/>
                <w:szCs w:val="22"/>
                <w:highlight w:val="none"/>
                <w:lang w:val="en-US" w:eastAsia="zh-CN" w:bidi="ar-SA"/>
              </w:rPr>
              <w:t>责令有关单位和个人限期改正；逾期不改正的，处以五百元以上五千元以下的罚款。</w:t>
            </w: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有1组</w:t>
            </w:r>
            <w:r>
              <w:rPr>
                <w:rFonts w:hint="default" w:ascii="仿宋_GB2312" w:hAnsi="微软雅黑" w:eastAsia="仿宋_GB2312" w:cs="宋体"/>
                <w:color w:val="000000" w:themeColor="text1"/>
                <w:kern w:val="0"/>
                <w:sz w:val="24"/>
                <w:szCs w:val="24"/>
                <w:highlight w:val="none"/>
                <w14:textFill>
                  <w14:solidFill>
                    <w14:schemeClr w14:val="tx1"/>
                  </w14:solidFill>
                </w14:textFill>
              </w:rPr>
              <w:t>（束、扎）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管线设施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不整齐或与其他铺设整齐的管线</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交叉、不平行的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处500元以上1</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00元以下罚款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690" w:hRule="atLeast"/>
          <w:jc w:val="center"/>
        </w:trPr>
        <w:tc>
          <w:tcPr>
            <w:tcW w:w="614" w:type="dxa"/>
            <w:vMerge w:val="continue"/>
            <w:tcBorders>
              <w:left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2" w:space="0"/>
              <w:left w:val="nil"/>
              <w:bottom w:val="single" w:color="auto" w:sz="4" w:space="0"/>
              <w:right w:val="single" w:color="auto" w:sz="4" w:space="0"/>
            </w:tcBorders>
            <w:shd w:val="clear" w:color="auto" w:fill="auto"/>
            <w:vAlign w:val="center"/>
          </w:tcPr>
          <w:p>
            <w:pPr>
              <w:pStyle w:val="2"/>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有2组</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或3组（束、扎）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管线设施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不整齐或与其他铺设整齐的管线</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交叉、不平行的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00元以下罚款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690" w:hRule="atLeast"/>
          <w:jc w:val="center"/>
        </w:trPr>
        <w:tc>
          <w:tcPr>
            <w:tcW w:w="614" w:type="dxa"/>
            <w:vMerge w:val="continue"/>
            <w:tcBorders>
              <w:left w:val="single" w:color="auto" w:sz="4" w:space="0"/>
              <w:bottom w:val="single" w:color="auto" w:sz="2"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有</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组</w:t>
            </w:r>
            <w:r>
              <w:rPr>
                <w:rFonts w:hint="default" w:ascii="仿宋_GB2312" w:hAnsi="微软雅黑" w:eastAsia="仿宋_GB2312" w:cs="宋体"/>
                <w:color w:val="000000" w:themeColor="text1"/>
                <w:kern w:val="0"/>
                <w:sz w:val="24"/>
                <w:szCs w:val="24"/>
                <w:highlight w:val="none"/>
                <w14:textFill>
                  <w14:solidFill>
                    <w14:schemeClr w14:val="tx1"/>
                  </w14:solidFill>
                </w14:textFill>
              </w:rPr>
              <w:t>（束、扎）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管线以上设施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不整齐或与其他铺设整齐的管线</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交叉、不平行的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00元以上5000元以下罚款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1035" w:hRule="atLeast"/>
          <w:jc w:val="center"/>
        </w:trPr>
        <w:tc>
          <w:tcPr>
            <w:tcW w:w="614"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11</w:t>
            </w:r>
          </w:p>
        </w:tc>
        <w:tc>
          <w:tcPr>
            <w:tcW w:w="203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随地吐痰、便溺，乱扔果皮、果核、纸屑、烟蒂、玻璃瓶、饮料罐、口香糖、包装袋或者乱倒垃圾、渣土、污水、污油、粪便等废弃物的</w:t>
            </w:r>
          </w:p>
        </w:tc>
        <w:tc>
          <w:tcPr>
            <w:tcW w:w="1823"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《江门市城市市容和环境卫生管理条例》第四十五条第一项规定</w:t>
            </w:r>
          </w:p>
        </w:tc>
        <w:tc>
          <w:tcPr>
            <w:tcW w:w="2034"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责令采取补救措施，处以五十元以上二百元以下的罚款</w:t>
            </w: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随地吐痰、乱扔果皮、果核、纸屑、烟蒂、玻璃瓶、饮料罐、口香糖、包装袋等的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处以50元以上100元以下的罚款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责令采取补救措施</w:t>
            </w:r>
          </w:p>
        </w:tc>
      </w:tr>
      <w:tr>
        <w:tblPrEx>
          <w:tblCellMar>
            <w:top w:w="0" w:type="dxa"/>
            <w:left w:w="108" w:type="dxa"/>
            <w:bottom w:w="0" w:type="dxa"/>
            <w:right w:w="108" w:type="dxa"/>
          </w:tblCellMar>
        </w:tblPrEx>
        <w:trPr>
          <w:trHeight w:val="117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随地便溺的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处以100元以上150元以下的罚款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责令采取补救措施</w:t>
            </w:r>
          </w:p>
        </w:tc>
      </w:tr>
      <w:tr>
        <w:tblPrEx>
          <w:tblCellMar>
            <w:top w:w="0" w:type="dxa"/>
            <w:left w:w="108" w:type="dxa"/>
            <w:bottom w:w="0" w:type="dxa"/>
            <w:right w:w="108" w:type="dxa"/>
          </w:tblCellMar>
        </w:tblPrEx>
        <w:trPr>
          <w:trHeight w:val="138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乱倒垃圾、渣土、污水、污油、粪便等的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处以150元以上200元以下的罚款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责令采取补救措施</w:t>
            </w:r>
          </w:p>
        </w:tc>
      </w:tr>
      <w:tr>
        <w:tblPrEx>
          <w:tblCellMar>
            <w:top w:w="0" w:type="dxa"/>
            <w:left w:w="108" w:type="dxa"/>
            <w:bottom w:w="0" w:type="dxa"/>
            <w:right w:w="108" w:type="dxa"/>
          </w:tblCellMar>
        </w:tblPrEx>
        <w:trPr>
          <w:trHeight w:val="690" w:hRule="atLeast"/>
          <w:jc w:val="center"/>
        </w:trPr>
        <w:tc>
          <w:tcPr>
            <w:tcW w:w="6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12</w:t>
            </w:r>
          </w:p>
        </w:tc>
        <w:tc>
          <w:tcPr>
            <w:tcW w:w="203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乱扔动物尸体的</w:t>
            </w:r>
          </w:p>
        </w:tc>
        <w:tc>
          <w:tcPr>
            <w:tcW w:w="182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《江门市城市市容和环境卫生管理条例》第四十五条第二项规定</w:t>
            </w:r>
          </w:p>
        </w:tc>
        <w:tc>
          <w:tcPr>
            <w:tcW w:w="20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责令清理，处以每头（只）五十元以上五百元以下的罚款</w:t>
            </w: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乱扔家禽及禽类体型以下的动物尸体的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处以每头（只）50元以上200元以下的罚款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w:t>
            </w:r>
          </w:p>
        </w:tc>
      </w:tr>
      <w:tr>
        <w:tblPrEx>
          <w:tblCellMar>
            <w:top w:w="0" w:type="dxa"/>
            <w:left w:w="108" w:type="dxa"/>
            <w:bottom w:w="0" w:type="dxa"/>
            <w:right w:w="108" w:type="dxa"/>
          </w:tblCellMar>
        </w:tblPrEx>
        <w:trPr>
          <w:trHeight w:val="69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乱扔犬只及与犬只体型相当的动物尸体的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处以每头（只）200元以上350元以下的罚款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w:t>
            </w:r>
          </w:p>
        </w:tc>
      </w:tr>
      <w:tr>
        <w:tblPrEx>
          <w:tblCellMar>
            <w:top w:w="0" w:type="dxa"/>
            <w:left w:w="108" w:type="dxa"/>
            <w:bottom w:w="0" w:type="dxa"/>
            <w:right w:w="108" w:type="dxa"/>
          </w:tblCellMar>
        </w:tblPrEx>
        <w:trPr>
          <w:trHeight w:val="1659" w:hRule="atLeast"/>
          <w:jc w:val="center"/>
        </w:trPr>
        <w:tc>
          <w:tcPr>
            <w:tcW w:w="614" w:type="dxa"/>
            <w:vMerge w:val="continue"/>
            <w:tcBorders>
              <w:top w:val="nil"/>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乱扔猪、牛、羊等及与上述牲口类体型相当的动物尸体的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处以每头（只）350元以上500元以下的罚款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w:t>
            </w:r>
          </w:p>
        </w:tc>
      </w:tr>
      <w:tr>
        <w:tblPrEx>
          <w:tblCellMar>
            <w:top w:w="0" w:type="dxa"/>
            <w:left w:w="108" w:type="dxa"/>
            <w:bottom w:w="0" w:type="dxa"/>
            <w:right w:w="108" w:type="dxa"/>
          </w:tblCellMar>
        </w:tblPrEx>
        <w:trPr>
          <w:trHeight w:val="2470" w:hRule="atLeast"/>
          <w:jc w:val="center"/>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13</w:t>
            </w:r>
          </w:p>
        </w:tc>
        <w:tc>
          <w:tcPr>
            <w:tcW w:w="203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从建筑物、机动车内向外抛掷垃圾的</w:t>
            </w:r>
          </w:p>
        </w:tc>
        <w:tc>
          <w:tcPr>
            <w:tcW w:w="1823"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《江门市城市市容和环境卫生管理条例》第四十五条第三项规定</w:t>
            </w:r>
          </w:p>
        </w:tc>
        <w:tc>
          <w:tcPr>
            <w:tcW w:w="2034"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责令清理，对单位处以五千元以上五万元以下的罚款，对个人处以二百元的罚款</w:t>
            </w:r>
          </w:p>
        </w:tc>
        <w:tc>
          <w:tcPr>
            <w:tcW w:w="833"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nil"/>
              <w:bottom w:val="single" w:color="auto" w:sz="2" w:space="0"/>
              <w:right w:val="single" w:color="auto" w:sz="4" w:space="0"/>
            </w:tcBorders>
            <w:shd w:val="clear" w:color="auto" w:fill="auto"/>
            <w:noWrap/>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在内街、内巷向外抛掷垃圾的</w:t>
            </w:r>
          </w:p>
        </w:tc>
        <w:tc>
          <w:tcPr>
            <w:tcW w:w="2629"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对单位处以5000元以上2万元以下的罚款，对个人处以200元的罚款</w:t>
            </w:r>
          </w:p>
        </w:tc>
        <w:tc>
          <w:tcPr>
            <w:tcW w:w="1784" w:type="dxa"/>
            <w:tcBorders>
              <w:top w:val="single" w:color="auto" w:sz="4" w:space="0"/>
              <w:left w:val="nil"/>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w:t>
            </w:r>
          </w:p>
        </w:tc>
      </w:tr>
      <w:tr>
        <w:tblPrEx>
          <w:tblCellMar>
            <w:top w:w="0" w:type="dxa"/>
            <w:left w:w="108" w:type="dxa"/>
            <w:bottom w:w="0" w:type="dxa"/>
            <w:right w:w="108" w:type="dxa"/>
          </w:tblCellMar>
        </w:tblPrEx>
        <w:trPr>
          <w:trHeight w:val="2108"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2" w:space="0"/>
              <w:left w:val="nil"/>
              <w:bottom w:val="single" w:color="auto" w:sz="4" w:space="0"/>
              <w:right w:val="single" w:color="auto" w:sz="4" w:space="0"/>
            </w:tcBorders>
            <w:shd w:val="clear" w:color="auto" w:fill="auto"/>
            <w:noWrap/>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在次干道向外抛掷垃圾的</w:t>
            </w:r>
          </w:p>
        </w:tc>
        <w:tc>
          <w:tcPr>
            <w:tcW w:w="2629"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对单位处以2万元以上3.5万元以下的罚款，对个人处以200元的罚款</w:t>
            </w:r>
          </w:p>
        </w:tc>
        <w:tc>
          <w:tcPr>
            <w:tcW w:w="1784" w:type="dxa"/>
            <w:tcBorders>
              <w:top w:val="single" w:color="auto" w:sz="2"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w:t>
            </w:r>
          </w:p>
        </w:tc>
      </w:tr>
      <w:tr>
        <w:tblPrEx>
          <w:tblCellMar>
            <w:top w:w="0" w:type="dxa"/>
            <w:left w:w="108" w:type="dxa"/>
            <w:bottom w:w="0" w:type="dxa"/>
            <w:right w:w="108" w:type="dxa"/>
          </w:tblCellMar>
        </w:tblPrEx>
        <w:trPr>
          <w:trHeight w:val="3356"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在主干道向外抛掷垃圾的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对单位处以3.5万元以上5万元以下的罚款,对个人处以200元的罚款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w:t>
            </w:r>
          </w:p>
        </w:tc>
      </w:tr>
      <w:tr>
        <w:tblPrEx>
          <w:tblCellMar>
            <w:top w:w="0" w:type="dxa"/>
            <w:left w:w="108" w:type="dxa"/>
            <w:bottom w:w="0" w:type="dxa"/>
            <w:right w:w="108" w:type="dxa"/>
          </w:tblCellMar>
        </w:tblPrEx>
        <w:trPr>
          <w:trHeight w:val="1815" w:hRule="atLeast"/>
          <w:jc w:val="center"/>
        </w:trPr>
        <w:tc>
          <w:tcPr>
            <w:tcW w:w="6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14</w:t>
            </w:r>
          </w:p>
        </w:tc>
        <w:tc>
          <w:tcPr>
            <w:tcW w:w="2030"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在城市道路或者公共场所从事车辆清洗活动的</w:t>
            </w:r>
          </w:p>
        </w:tc>
        <w:tc>
          <w:tcPr>
            <w:tcW w:w="1823"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《江门市城市市容和环境卫生管理条例》第四十五条第四项规定</w:t>
            </w:r>
          </w:p>
        </w:tc>
        <w:tc>
          <w:tcPr>
            <w:tcW w:w="2034"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责令改正，对非经营性的违法行为人处以二百元以上五百元以下的罚款，对经营性的违法行为人处以五百元以上五千元以下的罚款</w:t>
            </w: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清洗活动影响</w:t>
            </w:r>
            <w:r>
              <w:rPr>
                <w:rFonts w:hint="eastAsia" w:ascii="仿宋_GB2312" w:hAnsi="微软雅黑" w:eastAsia="仿宋_GB2312" w:cs="宋体"/>
                <w:kern w:val="0"/>
                <w:sz w:val="24"/>
                <w:szCs w:val="24"/>
                <w:highlight w:val="none"/>
              </w:rPr>
              <w:t>环境卫生</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面积在10平方米内的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对非经营性的违法行为人处以200元以上300元以下的罚款，对经营性的违法行为人处以500元以上2000元以下的罚款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责令改正</w:t>
            </w:r>
          </w:p>
        </w:tc>
      </w:tr>
      <w:tr>
        <w:tblPrEx>
          <w:tblCellMar>
            <w:top w:w="0" w:type="dxa"/>
            <w:left w:w="108" w:type="dxa"/>
            <w:bottom w:w="0" w:type="dxa"/>
            <w:right w:w="108" w:type="dxa"/>
          </w:tblCellMar>
        </w:tblPrEx>
        <w:trPr>
          <w:trHeight w:val="1924"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清洗活动影响</w:t>
            </w:r>
            <w:r>
              <w:rPr>
                <w:rFonts w:hint="eastAsia" w:ascii="仿宋_GB2312" w:hAnsi="微软雅黑" w:eastAsia="仿宋_GB2312" w:cs="宋体"/>
                <w:kern w:val="0"/>
                <w:sz w:val="24"/>
                <w:szCs w:val="24"/>
                <w:highlight w:val="none"/>
              </w:rPr>
              <w:t>环境卫生</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面积在10平方米以上20平方米内的</w:t>
            </w:r>
          </w:p>
        </w:tc>
        <w:tc>
          <w:tcPr>
            <w:tcW w:w="2629"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对非经营性的违法行为人处以300元以上400元以下的罚款，对经营性的违法行为人处以2000以上3500元以下的罚款</w:t>
            </w:r>
          </w:p>
        </w:tc>
        <w:tc>
          <w:tcPr>
            <w:tcW w:w="1784" w:type="dxa"/>
            <w:tcBorders>
              <w:top w:val="single" w:color="auto" w:sz="4" w:space="0"/>
              <w:left w:val="nil"/>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责令改正</w:t>
            </w:r>
          </w:p>
        </w:tc>
      </w:tr>
      <w:tr>
        <w:tblPrEx>
          <w:tblCellMar>
            <w:top w:w="0" w:type="dxa"/>
            <w:left w:w="108" w:type="dxa"/>
            <w:bottom w:w="0" w:type="dxa"/>
            <w:right w:w="108" w:type="dxa"/>
          </w:tblCellMar>
        </w:tblPrEx>
        <w:trPr>
          <w:trHeight w:val="1762"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清洗活动影响</w:t>
            </w:r>
            <w:r>
              <w:rPr>
                <w:rFonts w:hint="eastAsia" w:ascii="仿宋_GB2312" w:hAnsi="微软雅黑" w:eastAsia="仿宋_GB2312" w:cs="宋体"/>
                <w:kern w:val="0"/>
                <w:sz w:val="24"/>
                <w:szCs w:val="24"/>
                <w:highlight w:val="none"/>
              </w:rPr>
              <w:t>环境卫生</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面积在20平方米以上的</w:t>
            </w:r>
          </w:p>
        </w:tc>
        <w:tc>
          <w:tcPr>
            <w:tcW w:w="2629"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对非经营性的违法行为人处以400元以上500元以下的罚款，对经营性的违法行为人处以3500元以上5000元以下的罚款</w:t>
            </w:r>
          </w:p>
        </w:tc>
        <w:tc>
          <w:tcPr>
            <w:tcW w:w="1784" w:type="dxa"/>
            <w:tcBorders>
              <w:top w:val="single" w:color="auto" w:sz="2"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690" w:hRule="atLeast"/>
          <w:jc w:val="center"/>
        </w:trPr>
        <w:tc>
          <w:tcPr>
            <w:tcW w:w="6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15</w:t>
            </w:r>
          </w:p>
        </w:tc>
        <w:tc>
          <w:tcPr>
            <w:tcW w:w="203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非因教学、科研等特殊需要，在城区内饲养鸡、鸭、鹅、兔、羊、猪等家禽家畜或者饲养信鸽影响周围市容和环境卫生的</w:t>
            </w:r>
          </w:p>
        </w:tc>
        <w:tc>
          <w:tcPr>
            <w:tcW w:w="1823"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《江门市城市市容和环境卫生管理条例》第四十五条第五项规定</w:t>
            </w:r>
          </w:p>
        </w:tc>
        <w:tc>
          <w:tcPr>
            <w:tcW w:w="2034"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责令其限期处理或者予以没收，处以五十元以上五百元以下的罚款</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饲养家禽家畜3只以内的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处50元以上200元以下的罚款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责令其限期处理。逾期不处理的，予以没收</w:t>
            </w:r>
          </w:p>
        </w:tc>
      </w:tr>
      <w:tr>
        <w:tblPrEx>
          <w:tblCellMar>
            <w:top w:w="0" w:type="dxa"/>
            <w:left w:w="108" w:type="dxa"/>
            <w:bottom w:w="0" w:type="dxa"/>
            <w:right w:w="108" w:type="dxa"/>
          </w:tblCellMar>
        </w:tblPrEx>
        <w:trPr>
          <w:trHeight w:val="69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饲养家禽家畜3只以上5只以内的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处以200元以上350元以下的罚款 </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责令其限期处理。逾期不处理的，予以没收</w:t>
            </w:r>
          </w:p>
        </w:tc>
      </w:tr>
      <w:tr>
        <w:tblPrEx>
          <w:tblCellMar>
            <w:top w:w="0" w:type="dxa"/>
            <w:left w:w="108" w:type="dxa"/>
            <w:bottom w:w="0" w:type="dxa"/>
            <w:right w:w="108" w:type="dxa"/>
          </w:tblCellMar>
        </w:tblPrEx>
        <w:trPr>
          <w:trHeight w:val="69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饲养家禽家畜5只以上的；或者饲养信鸽影响周围市容和环境卫生的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处以350元以上500元以下的罚款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责令其限期处理。逾期不处理的，予以没收</w:t>
            </w:r>
          </w:p>
        </w:tc>
      </w:tr>
      <w:tr>
        <w:tblPrEx>
          <w:tblCellMar>
            <w:top w:w="0" w:type="dxa"/>
            <w:left w:w="108" w:type="dxa"/>
            <w:bottom w:w="0" w:type="dxa"/>
            <w:right w:w="108" w:type="dxa"/>
          </w:tblCellMar>
        </w:tblPrEx>
        <w:trPr>
          <w:trHeight w:val="1380" w:hRule="atLeast"/>
          <w:jc w:val="center"/>
        </w:trPr>
        <w:tc>
          <w:tcPr>
            <w:tcW w:w="614"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16</w:t>
            </w:r>
          </w:p>
        </w:tc>
        <w:tc>
          <w:tcPr>
            <w:tcW w:w="2030"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随意倾倒、抛撒、焚烧或者堆放生活垃圾的</w:t>
            </w:r>
          </w:p>
        </w:tc>
        <w:tc>
          <w:tcPr>
            <w:tcW w:w="1823"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《江门市城市市容和环境卫生管理条例》第四十五条第七项规定</w:t>
            </w:r>
          </w:p>
        </w:tc>
        <w:tc>
          <w:tcPr>
            <w:tcW w:w="2034"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责令停止违法行为，并对单位处五千元以上五万元以下的罚款，对个人处二百元以下的罚款</w:t>
            </w: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0" w:lineRule="atLeas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随意倾倒、抛撒、焚烧或者堆放生活垃圾1平方米（或0.5立方米）以内的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对单位处以5000元以上2万元以下的罚款；对个人处以50元以下的罚款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责令停止违法行为</w:t>
            </w:r>
          </w:p>
        </w:tc>
      </w:tr>
      <w:tr>
        <w:tblPrEx>
          <w:tblCellMar>
            <w:top w:w="0" w:type="dxa"/>
            <w:left w:w="108" w:type="dxa"/>
            <w:bottom w:w="0" w:type="dxa"/>
            <w:right w:w="108" w:type="dxa"/>
          </w:tblCellMar>
        </w:tblPrEx>
        <w:trPr>
          <w:trHeight w:val="138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2" w:space="0"/>
              <w:right w:val="single" w:color="auto" w:sz="4" w:space="0"/>
            </w:tcBorders>
            <w:shd w:val="clear" w:color="auto" w:fill="auto"/>
            <w:vAlign w:val="center"/>
          </w:tcPr>
          <w:p>
            <w:pPr>
              <w:spacing w:line="0" w:lineRule="atLeas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随意倾倒、抛撒、焚烧或者堆放生活垃圾1平方米（或0.5立方米）以上5平方米（或2.5立方米）以内的</w:t>
            </w:r>
          </w:p>
        </w:tc>
        <w:tc>
          <w:tcPr>
            <w:tcW w:w="2629"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对单位处以2万元以上3.5万元以下的罚款；对个人处以50元以上150元以下的罚款 </w:t>
            </w:r>
          </w:p>
        </w:tc>
        <w:tc>
          <w:tcPr>
            <w:tcW w:w="1784" w:type="dxa"/>
            <w:tcBorders>
              <w:top w:val="single" w:color="auto" w:sz="4" w:space="0"/>
              <w:left w:val="nil"/>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责令停止违法行为</w:t>
            </w:r>
          </w:p>
        </w:tc>
      </w:tr>
      <w:tr>
        <w:tblPrEx>
          <w:tblCellMar>
            <w:top w:w="0" w:type="dxa"/>
            <w:left w:w="108" w:type="dxa"/>
            <w:bottom w:w="0" w:type="dxa"/>
            <w:right w:w="108" w:type="dxa"/>
          </w:tblCellMar>
        </w:tblPrEx>
        <w:trPr>
          <w:trHeight w:val="1380" w:hRule="atLeast"/>
          <w:jc w:val="center"/>
        </w:trPr>
        <w:tc>
          <w:tcPr>
            <w:tcW w:w="614" w:type="dxa"/>
            <w:vMerge w:val="continue"/>
            <w:tcBorders>
              <w:top w:val="nil"/>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2" w:space="0"/>
              <w:left w:val="nil"/>
              <w:bottom w:val="single" w:color="auto" w:sz="4" w:space="0"/>
              <w:right w:val="single" w:color="auto" w:sz="4" w:space="0"/>
            </w:tcBorders>
            <w:shd w:val="clear" w:color="auto" w:fill="auto"/>
            <w:vAlign w:val="center"/>
          </w:tcPr>
          <w:p>
            <w:pPr>
              <w:spacing w:line="0" w:lineRule="atLeas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随意倾倒、抛撒、焚烧或者堆放生活垃圾5平方米（或2.5立方米）以上的</w:t>
            </w:r>
          </w:p>
        </w:tc>
        <w:tc>
          <w:tcPr>
            <w:tcW w:w="2629"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对单位处以3.5万元以上5万元以下的罚款；对个人处以150元以上200元以下的罚款</w:t>
            </w:r>
          </w:p>
        </w:tc>
        <w:tc>
          <w:tcPr>
            <w:tcW w:w="1784" w:type="dxa"/>
            <w:tcBorders>
              <w:top w:val="single" w:color="auto" w:sz="2"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责令停止违法行为</w:t>
            </w:r>
          </w:p>
        </w:tc>
      </w:tr>
      <w:tr>
        <w:tblPrEx>
          <w:tblCellMar>
            <w:top w:w="0" w:type="dxa"/>
            <w:left w:w="108" w:type="dxa"/>
            <w:bottom w:w="0" w:type="dxa"/>
            <w:right w:w="108" w:type="dxa"/>
          </w:tblCellMar>
        </w:tblPrEx>
        <w:trPr>
          <w:trHeight w:val="1100" w:hRule="atLeast"/>
          <w:jc w:val="center"/>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17</w:t>
            </w:r>
          </w:p>
        </w:tc>
        <w:tc>
          <w:tcPr>
            <w:tcW w:w="2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未将大件垃圾按照规定时间投放到指定场所，或者将大件垃圾投放到生活垃圾收集点或者收集容器内的</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《江门市城市市容和环境卫生管理条例》第四十五条第八项规定</w:t>
            </w:r>
          </w:p>
        </w:tc>
        <w:tc>
          <w:tcPr>
            <w:tcW w:w="20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责令改正，处以五十元以上二百元以下的罚款</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废弃大件垃圾1件的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处50元以上100元以下元的罚款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1825"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废弃大件垃圾2件的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处以100元以上150元以下的罚款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1695"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0" w:lineRule="atLeas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废弃大件垃圾3件以上的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处以150元以上200元以下的罚款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690" w:hRule="atLeast"/>
          <w:jc w:val="center"/>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18</w:t>
            </w:r>
          </w:p>
        </w:tc>
        <w:tc>
          <w:tcPr>
            <w:tcW w:w="203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未在显著位置公示配套建设的生活垃圾中转站、公共厕所等公共环境卫生设施，未将配套建设的公共环境卫生设施在规划总平面图、销售广告、建设项目沙盘等载体予以明确标示的</w:t>
            </w:r>
          </w:p>
        </w:tc>
        <w:tc>
          <w:tcPr>
            <w:tcW w:w="1823"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《江门市城市市容和环境卫生管理条例》第四十六条第一项规定</w:t>
            </w:r>
          </w:p>
        </w:tc>
        <w:tc>
          <w:tcPr>
            <w:tcW w:w="2034"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责令限期改正，处以一万元以上三万元以下的罚款</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FF0000"/>
                <w:kern w:val="0"/>
                <w:sz w:val="24"/>
                <w:szCs w:val="24"/>
                <w:highlight w:val="none"/>
              </w:rPr>
            </w:pPr>
            <w:r>
              <w:rPr>
                <w:rFonts w:hint="eastAsia" w:ascii="仿宋_GB2312" w:hAnsi="微软雅黑" w:eastAsia="仿宋_GB2312" w:cs="宋体"/>
                <w:kern w:val="0"/>
                <w:sz w:val="24"/>
                <w:szCs w:val="24"/>
                <w:highlight w:val="none"/>
              </w:rPr>
              <w:t>未在显著位置公示，未在应标示位置标示1处的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处以1万元以上1.5万元以下的罚款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278"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2" w:space="0"/>
              <w:right w:val="nil"/>
            </w:tcBorders>
            <w:shd w:val="clear" w:color="auto" w:fill="auto"/>
            <w:noWrap/>
            <w:vAlign w:val="center"/>
          </w:tcPr>
          <w:p>
            <w:pPr>
              <w:widowControl/>
              <w:spacing w:line="0" w:lineRule="atLeast"/>
              <w:contextualSpacing/>
              <w:rPr>
                <w:rFonts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未在显著位置公示，未在应标示位置标示2处的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处以1.5万元以上2万元以下的罚款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38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未在显著位置公示，未在应标示位置标示3处以上的；造成社会不良影响的</w:t>
            </w:r>
          </w:p>
        </w:tc>
        <w:tc>
          <w:tcPr>
            <w:tcW w:w="2629"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处以2万元以上3万元以下的罚款</w:t>
            </w:r>
          </w:p>
        </w:tc>
        <w:tc>
          <w:tcPr>
            <w:tcW w:w="1784" w:type="dxa"/>
            <w:tcBorders>
              <w:top w:val="single" w:color="auto" w:sz="4" w:space="0"/>
              <w:left w:val="nil"/>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725" w:hRule="atLeast"/>
          <w:jc w:val="center"/>
        </w:trPr>
        <w:tc>
          <w:tcPr>
            <w:tcW w:w="6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19</w:t>
            </w:r>
          </w:p>
        </w:tc>
        <w:tc>
          <w:tcPr>
            <w:tcW w:w="2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配套建设的环境卫生设施未与主体工程同时竣工验收、同时投入使用，或者分期建设的建设工程配套建设的环境卫生设施未与首期工程同时竣工验收、同时投入使用的</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《江门市城市市容和环境卫生管理条例》第四十六条第二项规定</w:t>
            </w:r>
          </w:p>
        </w:tc>
        <w:tc>
          <w:tcPr>
            <w:tcW w:w="20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责令限期改正，处以三万元以上十万元以下的罚款</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single" w:color="auto" w:sz="4" w:space="0"/>
              <w:bottom w:val="single" w:color="auto" w:sz="4" w:space="0"/>
              <w:right w:val="single" w:color="auto" w:sz="4" w:space="0"/>
            </w:tcBorders>
            <w:shd w:val="clear" w:color="auto" w:fill="auto"/>
            <w:vAlign w:val="center"/>
          </w:tcPr>
          <w:p>
            <w:pPr>
              <w:spacing w:line="0" w:lineRule="atLeast"/>
              <w:ind w:left="-10" w:leftChars="-5"/>
              <w:rPr>
                <w:rFonts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配套建设的环境卫生设施有1项未与主体工程（或首期工程）同时竣工验收、同时投入使用的</w:t>
            </w:r>
          </w:p>
        </w:tc>
        <w:tc>
          <w:tcPr>
            <w:tcW w:w="2629"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处以3万元以上5万元以下的罚款</w:t>
            </w:r>
          </w:p>
        </w:tc>
        <w:tc>
          <w:tcPr>
            <w:tcW w:w="1784" w:type="dxa"/>
            <w:tcBorders>
              <w:top w:val="single" w:color="auto" w:sz="2"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757"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left="-10" w:leftChars="-5"/>
              <w:rPr>
                <w:rFonts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配套建设的环境卫生设施有2项未与主体工程（或首期工程）同时竣工验收、同时投入使用的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处以5万元以上8万元以下的罚款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633" w:hRule="atLeast"/>
          <w:jc w:val="center"/>
        </w:trPr>
        <w:tc>
          <w:tcPr>
            <w:tcW w:w="614" w:type="dxa"/>
            <w:vMerge w:val="continue"/>
            <w:tcBorders>
              <w:top w:val="nil"/>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0" w:lineRule="atLeast"/>
              <w:ind w:left="-10" w:leftChars="-5"/>
              <w:rPr>
                <w:rFonts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配套建设的环境卫生设施有3项以上未与主体工程（或首期工程）同时竣工验收、同时投入使用的</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处以8万元以上10万元以下的罚款</w:t>
            </w:r>
          </w:p>
        </w:tc>
        <w:tc>
          <w:tcPr>
            <w:tcW w:w="1784"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035" w:hRule="atLeast"/>
          <w:jc w:val="center"/>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20</w:t>
            </w:r>
          </w:p>
        </w:tc>
        <w:tc>
          <w:tcPr>
            <w:tcW w:w="2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损坏环境卫生设施的</w:t>
            </w:r>
          </w:p>
        </w:tc>
        <w:tc>
          <w:tcPr>
            <w:tcW w:w="1823"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《江门市城市市容和环境卫生管理条例》第四十六条第三项规定</w:t>
            </w:r>
          </w:p>
        </w:tc>
        <w:tc>
          <w:tcPr>
            <w:tcW w:w="2034"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责令限期改正，并可处以重建（置）价二倍以上十倍以下罚款，最高罚款总额不得超过三万元</w:t>
            </w:r>
          </w:p>
        </w:tc>
        <w:tc>
          <w:tcPr>
            <w:tcW w:w="833"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重建（置）设施费用1000元内的</w:t>
            </w:r>
          </w:p>
        </w:tc>
        <w:tc>
          <w:tcPr>
            <w:tcW w:w="2629"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处以重建（置）价2倍以上4倍以下罚款</w:t>
            </w:r>
          </w:p>
        </w:tc>
        <w:tc>
          <w:tcPr>
            <w:tcW w:w="1784" w:type="dxa"/>
            <w:tcBorders>
              <w:top w:val="single" w:color="auto" w:sz="4" w:space="0"/>
              <w:left w:val="nil"/>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035"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重建（置）设施费用1000元以上3000元以内的</w:t>
            </w:r>
          </w:p>
        </w:tc>
        <w:tc>
          <w:tcPr>
            <w:tcW w:w="2629"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处以重建（置）价4倍以上6倍以下罚款</w:t>
            </w:r>
          </w:p>
        </w:tc>
        <w:tc>
          <w:tcPr>
            <w:tcW w:w="1784" w:type="dxa"/>
            <w:tcBorders>
              <w:top w:val="single" w:color="auto" w:sz="2"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035"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重建（置）设施费用3000元以上的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处以重建（置）价6倍以上10倍以下罚款，最高罚款总额不得超过3万元</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690" w:hRule="atLeast"/>
          <w:jc w:val="center"/>
        </w:trPr>
        <w:tc>
          <w:tcPr>
            <w:tcW w:w="6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21</w:t>
            </w:r>
          </w:p>
        </w:tc>
        <w:tc>
          <w:tcPr>
            <w:tcW w:w="20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擅自拆除、迁移环境卫生设施，或者未按规定拆除、迁移环境卫生设施的</w:t>
            </w:r>
          </w:p>
        </w:tc>
        <w:tc>
          <w:tcPr>
            <w:tcW w:w="1823"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《江门市城市市容和环境卫生管理条例》第四十六条第三项规定</w:t>
            </w:r>
          </w:p>
        </w:tc>
        <w:tc>
          <w:tcPr>
            <w:tcW w:w="2034"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责令限期改正，处以一万元以上十万元以下的罚款</w:t>
            </w: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nil"/>
              <w:bottom w:val="single" w:color="auto" w:sz="4" w:space="0"/>
              <w:right w:val="single" w:color="auto" w:sz="4" w:space="0"/>
            </w:tcBorders>
            <w:shd w:val="clear" w:color="auto" w:fill="auto"/>
            <w:vAlign w:val="center"/>
          </w:tcPr>
          <w:p>
            <w:pPr>
              <w:spacing w:line="0" w:lineRule="atLeas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环境卫生设施价值1万元以下的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责令限期改正，处以1万元以上4万元以下的罚款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69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nil"/>
              <w:left w:val="nil"/>
              <w:bottom w:val="single" w:color="auto" w:sz="4" w:space="0"/>
              <w:right w:val="single" w:color="auto" w:sz="4" w:space="0"/>
            </w:tcBorders>
            <w:shd w:val="clear" w:color="auto" w:fill="auto"/>
            <w:vAlign w:val="center"/>
          </w:tcPr>
          <w:p>
            <w:pPr>
              <w:spacing w:line="0" w:lineRule="atLeas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环境卫生设施价值1万元以上4万元以内的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处以4万元以上7万元以下的罚款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690" w:hRule="atLeast"/>
          <w:jc w:val="center"/>
        </w:trPr>
        <w:tc>
          <w:tcPr>
            <w:tcW w:w="61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4" w:type="dxa"/>
            <w:tcBorders>
              <w:top w:val="nil"/>
              <w:left w:val="nil"/>
              <w:bottom w:val="single" w:color="auto" w:sz="4" w:space="0"/>
              <w:right w:val="single" w:color="auto" w:sz="4" w:space="0"/>
            </w:tcBorders>
            <w:shd w:val="clear" w:color="auto" w:fill="auto"/>
            <w:vAlign w:val="center"/>
          </w:tcPr>
          <w:p>
            <w:pPr>
              <w:spacing w:line="0" w:lineRule="atLeast"/>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环境卫生设施价值4万元以上的</w:t>
            </w:r>
          </w:p>
        </w:tc>
        <w:tc>
          <w:tcPr>
            <w:tcW w:w="262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处以7万元以上10万元以下的罚款</w:t>
            </w:r>
          </w:p>
        </w:tc>
        <w:tc>
          <w:tcPr>
            <w:tcW w:w="1784" w:type="dxa"/>
            <w:tcBorders>
              <w:top w:val="nil"/>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bl>
    <w:p>
      <w:pPr>
        <w:rPr>
          <w:b/>
          <w:color w:val="000000"/>
          <w:highlight w:val="none"/>
        </w:rPr>
      </w:pPr>
      <w:r>
        <w:rPr>
          <w:rFonts w:hint="eastAsia"/>
          <w:b/>
          <w:color w:val="000000"/>
          <w:highlight w:val="none"/>
        </w:rPr>
        <w:t>注：表格中“违法情节和后果”一栏的“以上”包括本数，“以下、以内、内”不包括本数。“行政处罚”一栏的“以上”“以下”含义均同对应法律原文含义。</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ascii="宋体" w:hAnsi="宋体" w:cs="宋体"/>
          <w:b/>
          <w:bCs/>
          <w:kern w:val="0"/>
          <w:sz w:val="44"/>
          <w:szCs w:val="40"/>
          <w:highlight w:val="none"/>
        </w:rPr>
      </w:pPr>
    </w:p>
    <w:p>
      <w:pPr>
        <w:jc w:val="center"/>
        <w:rPr>
          <w:rFonts w:ascii="宋体" w:hAnsi="宋体" w:cs="宋体"/>
          <w:b/>
          <w:bCs/>
          <w:kern w:val="0"/>
          <w:sz w:val="44"/>
          <w:szCs w:val="40"/>
          <w:highlight w:val="none"/>
        </w:rPr>
      </w:pPr>
      <w:r>
        <w:rPr>
          <w:rFonts w:hint="eastAsia" w:ascii="宋体" w:hAnsi="宋体" w:cs="宋体"/>
          <w:b/>
          <w:bCs/>
          <w:kern w:val="0"/>
          <w:sz w:val="44"/>
          <w:szCs w:val="40"/>
          <w:highlight w:val="none"/>
        </w:rPr>
        <w:t>第二部分 户外广告类</w:t>
      </w:r>
    </w:p>
    <w:tbl>
      <w:tblPr>
        <w:tblStyle w:val="7"/>
        <w:tblW w:w="15310" w:type="dxa"/>
        <w:tblInd w:w="-176" w:type="dxa"/>
        <w:tblLayout w:type="fixed"/>
        <w:tblCellMar>
          <w:top w:w="0" w:type="dxa"/>
          <w:left w:w="108" w:type="dxa"/>
          <w:bottom w:w="0" w:type="dxa"/>
          <w:right w:w="108" w:type="dxa"/>
        </w:tblCellMar>
      </w:tblPr>
      <w:tblGrid>
        <w:gridCol w:w="710"/>
        <w:gridCol w:w="1842"/>
        <w:gridCol w:w="1985"/>
        <w:gridCol w:w="2126"/>
        <w:gridCol w:w="1418"/>
        <w:gridCol w:w="2976"/>
        <w:gridCol w:w="3119"/>
        <w:gridCol w:w="1134"/>
      </w:tblGrid>
      <w:tr>
        <w:tblPrEx>
          <w:tblCellMar>
            <w:top w:w="0" w:type="dxa"/>
            <w:left w:w="108" w:type="dxa"/>
            <w:bottom w:w="0" w:type="dxa"/>
            <w:right w:w="108" w:type="dxa"/>
          </w:tblCellMar>
        </w:tblPrEx>
        <w:trPr>
          <w:trHeight w:val="465" w:hRule="atLeast"/>
        </w:trPr>
        <w:tc>
          <w:tcPr>
            <w:tcW w:w="14176" w:type="dxa"/>
            <w:gridSpan w:val="7"/>
            <w:tcBorders>
              <w:top w:val="nil"/>
              <w:left w:val="nil"/>
              <w:bottom w:val="nil"/>
              <w:right w:val="nil"/>
            </w:tcBorders>
            <w:shd w:val="clear" w:color="auto" w:fill="auto"/>
            <w:vAlign w:val="bottom"/>
          </w:tcPr>
          <w:p>
            <w:pPr>
              <w:widowControl/>
              <w:rPr>
                <w:rFonts w:ascii="宋体" w:hAnsi="宋体" w:cs="宋体"/>
                <w:b/>
                <w:bCs/>
                <w:color w:val="000000"/>
                <w:kern w:val="0"/>
                <w:sz w:val="44"/>
                <w:szCs w:val="44"/>
                <w:highlight w:val="none"/>
              </w:rPr>
            </w:pPr>
          </w:p>
        </w:tc>
        <w:tc>
          <w:tcPr>
            <w:tcW w:w="1134" w:type="dxa"/>
            <w:tcBorders>
              <w:top w:val="nil"/>
              <w:left w:val="nil"/>
              <w:bottom w:val="nil"/>
              <w:right w:val="nil"/>
            </w:tcBorders>
          </w:tcPr>
          <w:p>
            <w:pPr>
              <w:widowControl/>
              <w:ind w:firstLine="602" w:firstLineChars="150"/>
              <w:rPr>
                <w:rFonts w:ascii="宋体" w:hAnsi="宋体" w:cs="宋体"/>
                <w:b/>
                <w:bCs/>
                <w:kern w:val="0"/>
                <w:sz w:val="40"/>
                <w:szCs w:val="40"/>
                <w:highlight w:val="none"/>
              </w:rPr>
            </w:pPr>
          </w:p>
        </w:tc>
      </w:tr>
      <w:tr>
        <w:tblPrEx>
          <w:tblCellMar>
            <w:top w:w="0" w:type="dxa"/>
            <w:left w:w="108" w:type="dxa"/>
            <w:bottom w:w="0" w:type="dxa"/>
            <w:right w:w="108" w:type="dxa"/>
          </w:tblCellMar>
        </w:tblPrEx>
        <w:trPr>
          <w:trHeight w:val="660" w:hRule="atLeast"/>
        </w:trPr>
        <w:tc>
          <w:tcPr>
            <w:tcW w:w="7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序号</w:t>
            </w:r>
          </w:p>
        </w:tc>
        <w:tc>
          <w:tcPr>
            <w:tcW w:w="184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违法违规行为</w:t>
            </w:r>
          </w:p>
        </w:tc>
        <w:tc>
          <w:tcPr>
            <w:tcW w:w="19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处罚法律依据</w:t>
            </w:r>
          </w:p>
        </w:tc>
        <w:tc>
          <w:tcPr>
            <w:tcW w:w="212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法定处罚标准</w:t>
            </w: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highlight w:val="none"/>
              </w:rPr>
            </w:pPr>
            <w:r>
              <w:rPr>
                <w:rFonts w:hint="eastAsia" w:ascii="宋体" w:hAnsi="宋体" w:cs="宋体"/>
                <w:b/>
                <w:bCs/>
                <w:kern w:val="0"/>
                <w:sz w:val="24"/>
                <w:szCs w:val="21"/>
                <w:highlight w:val="none"/>
              </w:rPr>
              <w:t>裁量档次</w:t>
            </w:r>
          </w:p>
        </w:tc>
        <w:tc>
          <w:tcPr>
            <w:tcW w:w="29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highlight w:val="none"/>
              </w:rPr>
            </w:pPr>
            <w:r>
              <w:rPr>
                <w:rFonts w:hint="eastAsia" w:ascii="宋体" w:hAnsi="宋体" w:cs="宋体"/>
                <w:b/>
                <w:bCs/>
                <w:kern w:val="0"/>
                <w:sz w:val="24"/>
                <w:szCs w:val="24"/>
                <w:highlight w:val="none"/>
              </w:rPr>
              <w:t>违法</w:t>
            </w:r>
            <w:r>
              <w:rPr>
                <w:rFonts w:hint="eastAsia" w:ascii="宋体" w:hAnsi="宋体" w:cs="宋体"/>
                <w:b/>
                <w:bCs/>
                <w:kern w:val="0"/>
                <w:sz w:val="24"/>
                <w:szCs w:val="21"/>
                <w:highlight w:val="none"/>
              </w:rPr>
              <w:t>情节和</w:t>
            </w:r>
            <w:r>
              <w:rPr>
                <w:rFonts w:hint="eastAsia" w:ascii="宋体" w:hAnsi="宋体" w:cs="宋体"/>
                <w:b/>
                <w:bCs/>
                <w:kern w:val="0"/>
                <w:sz w:val="24"/>
                <w:szCs w:val="24"/>
                <w:highlight w:val="none"/>
              </w:rPr>
              <w:t>后果</w:t>
            </w:r>
          </w:p>
        </w:tc>
        <w:tc>
          <w:tcPr>
            <w:tcW w:w="31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themeColor="text1"/>
                <w:kern w:val="0"/>
                <w:sz w:val="24"/>
                <w:szCs w:val="24"/>
                <w:highlight w:val="none"/>
                <w14:textFill>
                  <w14:solidFill>
                    <w14:schemeClr w14:val="tx1"/>
                  </w14:solidFill>
                </w14:textFill>
              </w:rPr>
              <w:t>处罚自由裁量基准</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其他处理</w:t>
            </w:r>
          </w:p>
        </w:tc>
      </w:tr>
      <w:tr>
        <w:tblPrEx>
          <w:tblCellMar>
            <w:top w:w="0" w:type="dxa"/>
            <w:left w:w="108" w:type="dxa"/>
            <w:bottom w:w="0" w:type="dxa"/>
            <w:right w:w="108" w:type="dxa"/>
          </w:tblCellMar>
        </w:tblPrEx>
        <w:trPr>
          <w:trHeight w:val="1894" w:hRule="atLeast"/>
        </w:trPr>
        <w:tc>
          <w:tcPr>
            <w:tcW w:w="71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w:t>
            </w:r>
          </w:p>
        </w:tc>
        <w:tc>
          <w:tcPr>
            <w:tcW w:w="184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设置人未经城市管理主管部门同意，擅自设置大型户外广告设施，影响市容的</w:t>
            </w:r>
          </w:p>
        </w:tc>
        <w:tc>
          <w:tcPr>
            <w:tcW w:w="1985"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《江门市户外广告设施和招牌设置管理条例》第三十八条</w:t>
            </w:r>
          </w:p>
        </w:tc>
        <w:tc>
          <w:tcPr>
            <w:tcW w:w="2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责令停止违法行为，限期清理、拆除或者采取其他补救措施，处五千元以上五万元以下的罚款</w:t>
            </w:r>
          </w:p>
        </w:tc>
        <w:tc>
          <w:tcPr>
            <w:tcW w:w="1418"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6"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擅自设置大型户外广告设施,经审定可采取其他补救措施且已补救的</w:t>
            </w:r>
          </w:p>
        </w:tc>
        <w:tc>
          <w:tcPr>
            <w:tcW w:w="311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处5000元以上2万元以下的罚款</w:t>
            </w:r>
          </w:p>
        </w:tc>
        <w:tc>
          <w:tcPr>
            <w:tcW w:w="1134" w:type="dxa"/>
            <w:tcBorders>
              <w:top w:val="nil"/>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6"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擅自设置大型户外广告设施面积在10平方米以上50平方米以内且无法采取其他补救措施的</w:t>
            </w:r>
          </w:p>
        </w:tc>
        <w:tc>
          <w:tcPr>
            <w:tcW w:w="311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处2万元以上3.5万元以下的罚款</w:t>
            </w:r>
          </w:p>
        </w:tc>
        <w:tc>
          <w:tcPr>
            <w:tcW w:w="1134" w:type="dxa"/>
            <w:tcBorders>
              <w:top w:val="nil"/>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逾期不清理、拆除的，依法强制拆除</w:t>
            </w:r>
          </w:p>
        </w:tc>
      </w:tr>
      <w:tr>
        <w:tblPrEx>
          <w:tblCellMar>
            <w:top w:w="0" w:type="dxa"/>
            <w:left w:w="108" w:type="dxa"/>
            <w:bottom w:w="0" w:type="dxa"/>
            <w:right w:w="108" w:type="dxa"/>
          </w:tblCellMar>
        </w:tblPrEx>
        <w:trPr>
          <w:trHeight w:val="2675"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nil"/>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nil"/>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nil"/>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6"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擅自设置大型户外广告设施面积在50平方米以上且无法采取其他补救措施的</w:t>
            </w:r>
          </w:p>
        </w:tc>
        <w:tc>
          <w:tcPr>
            <w:tcW w:w="311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处3.5万元以上5万元以下的罚款</w:t>
            </w:r>
          </w:p>
        </w:tc>
        <w:tc>
          <w:tcPr>
            <w:tcW w:w="1134" w:type="dxa"/>
            <w:tcBorders>
              <w:top w:val="nil"/>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逾期不清理、拆除的，依法强制拆除</w:t>
            </w:r>
          </w:p>
        </w:tc>
      </w:tr>
      <w:tr>
        <w:tblPrEx>
          <w:tblCellMar>
            <w:top w:w="0" w:type="dxa"/>
            <w:left w:w="108" w:type="dxa"/>
            <w:bottom w:w="0" w:type="dxa"/>
            <w:right w:w="108" w:type="dxa"/>
          </w:tblCellMar>
        </w:tblPrEx>
        <w:trPr>
          <w:trHeight w:val="1131" w:hRule="atLeast"/>
        </w:trPr>
        <w:tc>
          <w:tcPr>
            <w:tcW w:w="71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2</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设置人未按照城市管理主管部门准予同意的书面决定的要求设置大型户外广告设施的</w:t>
            </w:r>
          </w:p>
        </w:tc>
        <w:tc>
          <w:tcPr>
            <w:tcW w:w="1985" w:type="dxa"/>
            <w:vMerge w:val="restart"/>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《江门市户外广告设施和招牌设置管理条例》第三十九条</w:t>
            </w:r>
          </w:p>
        </w:tc>
        <w:tc>
          <w:tcPr>
            <w:tcW w:w="2126" w:type="dxa"/>
            <w:vMerge w:val="restart"/>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责令改正，处五千元以上五万元以下的罚款</w:t>
            </w:r>
          </w:p>
          <w:p>
            <w:pPr>
              <w:widowControl/>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户外广告设施面积在10平方米以上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平方米以内且无法采取其他补救措施的</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处5000元以上2万元以下的罚款</w:t>
            </w:r>
          </w:p>
        </w:tc>
        <w:tc>
          <w:tcPr>
            <w:tcW w:w="1134" w:type="dxa"/>
            <w:tcBorders>
              <w:top w:val="single" w:color="auto" w:sz="4" w:space="0"/>
              <w:left w:val="single" w:color="auto" w:sz="2" w:space="0"/>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02" w:hRule="atLeast"/>
        </w:trPr>
        <w:tc>
          <w:tcPr>
            <w:tcW w:w="710"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auto" w:sz="2" w:space="0"/>
              <w:left w:val="single" w:color="auto" w:sz="4" w:space="0"/>
              <w:bottom w:val="single" w:color="auto" w:sz="2" w:space="0"/>
              <w:right w:val="single" w:color="auto" w:sz="2"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6" w:type="dxa"/>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single" w:color="auto" w:sz="2"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处2万元以上3.5万元以下的罚款</w:t>
            </w:r>
          </w:p>
        </w:tc>
        <w:tc>
          <w:tcPr>
            <w:tcW w:w="1134" w:type="dxa"/>
            <w:tcBorders>
              <w:top w:val="single" w:color="auto" w:sz="4" w:space="0"/>
              <w:left w:val="single" w:color="auto" w:sz="2" w:space="0"/>
              <w:bottom w:val="single" w:color="auto" w:sz="2"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380" w:hRule="atLeast"/>
        </w:trPr>
        <w:tc>
          <w:tcPr>
            <w:tcW w:w="710"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auto" w:sz="2" w:space="0"/>
              <w:left w:val="single" w:color="auto" w:sz="4" w:space="0"/>
              <w:bottom w:val="single" w:color="auto" w:sz="4" w:space="0"/>
              <w:right w:val="single" w:color="auto" w:sz="2"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auto" w:sz="2" w:space="0"/>
              <w:left w:val="single" w:color="auto" w:sz="2" w:space="0"/>
              <w:bottom w:val="single" w:color="auto" w:sz="4" w:space="0"/>
              <w:right w:val="single" w:color="auto" w:sz="2"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2" w:space="0"/>
              <w:left w:val="single" w:color="auto" w:sz="2" w:space="0"/>
              <w:bottom w:val="single" w:color="auto" w:sz="4" w:space="0"/>
              <w:right w:val="single" w:color="auto" w:sz="2"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6" w:type="dxa"/>
            <w:tcBorders>
              <w:top w:val="single" w:color="auto" w:sz="2" w:space="0"/>
              <w:left w:val="single" w:color="auto" w:sz="2" w:space="0"/>
              <w:bottom w:val="single" w:color="auto" w:sz="4" w:space="0"/>
              <w:right w:val="single" w:color="auto" w:sz="2"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2" w:space="0"/>
              <w:left w:val="single" w:color="auto" w:sz="2"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处3.5万元以上5万元以下的罚款</w:t>
            </w:r>
          </w:p>
        </w:tc>
        <w:tc>
          <w:tcPr>
            <w:tcW w:w="1134" w:type="dxa"/>
            <w:tcBorders>
              <w:top w:val="single" w:color="auto" w:sz="2" w:space="0"/>
              <w:left w:val="single" w:color="auto" w:sz="2" w:space="0"/>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22" w:hRule="atLeast"/>
        </w:trPr>
        <w:tc>
          <w:tcPr>
            <w:tcW w:w="71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3</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设置人未在设置期限届满后十日内拆除大型户外广告设施的</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《江门市户外广告设施和招牌设置管理条例》第四十条</w:t>
            </w:r>
          </w:p>
        </w:tc>
        <w:tc>
          <w:tcPr>
            <w:tcW w:w="2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责令限期拆除；逾期不拆除的，处五千元以上五万元以下的罚款</w:t>
            </w:r>
          </w:p>
        </w:tc>
        <w:tc>
          <w:tcPr>
            <w:tcW w:w="1418" w:type="dxa"/>
            <w:tcBorders>
              <w:top w:val="nil"/>
              <w:left w:val="nil"/>
              <w:right w:val="single" w:color="auto" w:sz="4" w:space="0"/>
            </w:tcBorders>
            <w:shd w:val="clear" w:color="auto" w:fill="auto"/>
            <w:vAlign w:val="center"/>
          </w:tcPr>
          <w:p>
            <w:pPr>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6" w:type="dxa"/>
            <w:tcBorders>
              <w:top w:val="nil"/>
              <w:left w:val="nil"/>
              <w:right w:val="single" w:color="auto" w:sz="4" w:space="0"/>
            </w:tcBorders>
            <w:shd w:val="clear" w:color="auto" w:fill="auto"/>
            <w:vAlign w:val="center"/>
          </w:tcPr>
          <w:p>
            <w:pPr>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户外广告设施面积在10平方米以上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nil"/>
              <w:left w:val="nil"/>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处5000元以上2万元以下的罚款</w:t>
            </w:r>
          </w:p>
        </w:tc>
        <w:tc>
          <w:tcPr>
            <w:tcW w:w="1134" w:type="dxa"/>
            <w:tcBorders>
              <w:top w:val="nil"/>
              <w:left w:val="nil"/>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810"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6"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处2万元以上3.5万元以下的罚款</w:t>
            </w:r>
          </w:p>
        </w:tc>
        <w:tc>
          <w:tcPr>
            <w:tcW w:w="1134" w:type="dxa"/>
            <w:tcBorders>
              <w:top w:val="single" w:color="auto" w:sz="4" w:space="0"/>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500" w:hRule="atLeast"/>
        </w:trPr>
        <w:tc>
          <w:tcPr>
            <w:tcW w:w="710" w:type="dxa"/>
            <w:vMerge w:val="continue"/>
            <w:tcBorders>
              <w:top w:val="nil"/>
              <w:left w:val="single" w:color="auto" w:sz="4" w:space="0"/>
              <w:bottom w:val="single" w:color="auto" w:sz="2"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6"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处3.5万元以上5万元以下的罚款</w:t>
            </w:r>
          </w:p>
        </w:tc>
        <w:tc>
          <w:tcPr>
            <w:tcW w:w="1134" w:type="dxa"/>
            <w:tcBorders>
              <w:top w:val="nil"/>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逾期不拆除的，依法强制拆除</w:t>
            </w:r>
          </w:p>
        </w:tc>
      </w:tr>
      <w:tr>
        <w:tblPrEx>
          <w:tblCellMar>
            <w:top w:w="0" w:type="dxa"/>
            <w:left w:w="108" w:type="dxa"/>
            <w:bottom w:w="0" w:type="dxa"/>
            <w:right w:w="108" w:type="dxa"/>
          </w:tblCellMar>
        </w:tblPrEx>
        <w:trPr>
          <w:trHeight w:val="989" w:hRule="atLeast"/>
        </w:trPr>
        <w:tc>
          <w:tcPr>
            <w:tcW w:w="710"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w:t>
            </w:r>
          </w:p>
          <w:p>
            <w:pPr>
              <w:widowControl/>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设置非大型户外广告设施不符合户外广告设施设置专项规划要求的</w:t>
            </w:r>
          </w:p>
        </w:tc>
        <w:tc>
          <w:tcPr>
            <w:tcW w:w="1985"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《江门市户外广告设施和招牌设置管理条例》第四十一条第二款</w:t>
            </w:r>
          </w:p>
        </w:tc>
        <w:tc>
          <w:tcPr>
            <w:tcW w:w="2126"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责令限期改正；逾期不改正的，处二千元以上二万元以下的罚款</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6"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处以2000元以上8000元以下的罚款</w:t>
            </w:r>
          </w:p>
        </w:tc>
        <w:tc>
          <w:tcPr>
            <w:tcW w:w="1134" w:type="dxa"/>
            <w:tcBorders>
              <w:top w:val="single" w:color="auto" w:sz="4" w:space="0"/>
              <w:left w:val="nil"/>
              <w:bottom w:val="single" w:color="auto" w:sz="4" w:space="0"/>
              <w:right w:val="single" w:color="auto" w:sz="4" w:space="0"/>
            </w:tcBorders>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00" w:hRule="atLeast"/>
        </w:trPr>
        <w:tc>
          <w:tcPr>
            <w:tcW w:w="710"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6"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处以8000元以上1.4万元以下的罚款</w:t>
            </w:r>
          </w:p>
        </w:tc>
        <w:tc>
          <w:tcPr>
            <w:tcW w:w="1134" w:type="dxa"/>
            <w:tcBorders>
              <w:top w:val="single" w:color="auto" w:sz="4" w:space="0"/>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380" w:hRule="atLeast"/>
        </w:trPr>
        <w:tc>
          <w:tcPr>
            <w:tcW w:w="710" w:type="dxa"/>
            <w:vMerge w:val="continue"/>
            <w:tcBorders>
              <w:top w:val="single" w:color="auto" w:sz="2" w:space="0"/>
              <w:left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6"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处以1.4万元以上2万元以下的罚款</w:t>
            </w:r>
          </w:p>
        </w:tc>
        <w:tc>
          <w:tcPr>
            <w:tcW w:w="1134" w:type="dxa"/>
            <w:tcBorders>
              <w:top w:val="nil"/>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38" w:hRule="atLeast"/>
        </w:trPr>
        <w:tc>
          <w:tcPr>
            <w:tcW w:w="710" w:type="dxa"/>
            <w:vMerge w:val="restart"/>
            <w:tcBorders>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5</w:t>
            </w:r>
          </w:p>
        </w:tc>
        <w:tc>
          <w:tcPr>
            <w:tcW w:w="184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设置人未在设置期限届满后三日内拆除临时性户外广告设施的</w:t>
            </w:r>
          </w:p>
        </w:tc>
        <w:tc>
          <w:tcPr>
            <w:tcW w:w="1985"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《江门市户外广告设施和招牌设置管理条例》第四十二条</w:t>
            </w:r>
          </w:p>
        </w:tc>
        <w:tc>
          <w:tcPr>
            <w:tcW w:w="2126"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责令限期拆除；逾期不拆除的，处五千元以上三万元以下的罚款</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6"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处5000元以上1万元以下的罚款</w:t>
            </w:r>
          </w:p>
        </w:tc>
        <w:tc>
          <w:tcPr>
            <w:tcW w:w="1134" w:type="dxa"/>
            <w:tcBorders>
              <w:top w:val="single" w:color="auto" w:sz="4" w:space="0"/>
              <w:left w:val="nil"/>
              <w:bottom w:val="single" w:color="auto" w:sz="4" w:space="0"/>
              <w:right w:val="single" w:color="auto" w:sz="4" w:space="0"/>
            </w:tcBorders>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03" w:hRule="atLeast"/>
        </w:trPr>
        <w:tc>
          <w:tcPr>
            <w:tcW w:w="710" w:type="dxa"/>
            <w:vMerge w:val="continue"/>
            <w:tcBorders>
              <w:top w:val="single" w:color="000000"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8"/>
                <w:szCs w:val="28"/>
                <w:highlight w:val="none"/>
              </w:rPr>
            </w:pPr>
          </w:p>
        </w:tc>
        <w:tc>
          <w:tcPr>
            <w:tcW w:w="1842"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1985"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12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6"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处1万元以上2万元以下的罚款</w:t>
            </w:r>
          </w:p>
        </w:tc>
        <w:tc>
          <w:tcPr>
            <w:tcW w:w="1134" w:type="dxa"/>
            <w:tcBorders>
              <w:top w:val="single" w:color="auto" w:sz="4" w:space="0"/>
              <w:left w:val="nil"/>
              <w:bottom w:val="single" w:color="auto" w:sz="2"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833" w:hRule="atLeast"/>
        </w:trPr>
        <w:tc>
          <w:tcPr>
            <w:tcW w:w="710" w:type="dxa"/>
            <w:vMerge w:val="continue"/>
            <w:tcBorders>
              <w:top w:val="single" w:color="000000"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8"/>
                <w:szCs w:val="28"/>
                <w:highlight w:val="none"/>
              </w:rPr>
            </w:pPr>
          </w:p>
        </w:tc>
        <w:tc>
          <w:tcPr>
            <w:tcW w:w="1842"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1985"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2126"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0" w:lineRule="atLeast"/>
              <w:contextualSpacing/>
              <w:rPr>
                <w:rFonts w:ascii="微软雅黑" w:hAnsi="微软雅黑" w:eastAsia="微软雅黑" w:cs="宋体"/>
                <w:color w:val="000000" w:themeColor="text1"/>
                <w:kern w:val="0"/>
                <w:sz w:val="24"/>
                <w:szCs w:val="24"/>
                <w:highlight w:val="none"/>
                <w14:textFill>
                  <w14:solidFill>
                    <w14:schemeClr w14:val="tx1"/>
                  </w14:solidFill>
                </w14:textFill>
              </w:rPr>
            </w:pPr>
          </w:p>
        </w:tc>
        <w:tc>
          <w:tcPr>
            <w:tcW w:w="1418"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6"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处2万元以上3万元以下的罚款</w:t>
            </w:r>
          </w:p>
        </w:tc>
        <w:tc>
          <w:tcPr>
            <w:tcW w:w="1134" w:type="dxa"/>
            <w:tcBorders>
              <w:top w:val="single" w:color="auto" w:sz="2" w:space="0"/>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逾期不拆除的，依法强制拆除</w:t>
            </w:r>
          </w:p>
        </w:tc>
      </w:tr>
      <w:tr>
        <w:tblPrEx>
          <w:tblCellMar>
            <w:top w:w="0" w:type="dxa"/>
            <w:left w:w="108" w:type="dxa"/>
            <w:bottom w:w="0" w:type="dxa"/>
            <w:right w:w="108" w:type="dxa"/>
          </w:tblCellMar>
        </w:tblPrEx>
        <w:trPr>
          <w:trHeight w:val="833" w:hRule="atLeast"/>
        </w:trPr>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6</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设置人未按照招牌设置规范设置招牌的</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《江门市户外广告设施和招牌设置管理条例》第四十三条</w:t>
            </w:r>
          </w:p>
        </w:tc>
        <w:tc>
          <w:tcPr>
            <w:tcW w:w="2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责令限期改正；逾期不改正的，处五百元以上五千元以下的罚款</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6"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处500元以上2000元以下的罚款</w:t>
            </w:r>
          </w:p>
        </w:tc>
        <w:tc>
          <w:tcPr>
            <w:tcW w:w="1134" w:type="dxa"/>
            <w:tcBorders>
              <w:top w:val="single" w:color="auto" w:sz="4" w:space="0"/>
              <w:left w:val="nil"/>
              <w:bottom w:val="single" w:color="auto" w:sz="4" w:space="0"/>
              <w:right w:val="single" w:color="auto" w:sz="4" w:space="0"/>
            </w:tcBorders>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59"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6"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处2000元以上3500元以下的罚款</w:t>
            </w:r>
          </w:p>
        </w:tc>
        <w:tc>
          <w:tcPr>
            <w:tcW w:w="1134" w:type="dxa"/>
            <w:tcBorders>
              <w:top w:val="single" w:color="auto" w:sz="4" w:space="0"/>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处3500元以上5000元以下的罚款</w:t>
            </w:r>
          </w:p>
        </w:tc>
        <w:tc>
          <w:tcPr>
            <w:tcW w:w="1134" w:type="dxa"/>
            <w:tcBorders>
              <w:top w:val="nil"/>
              <w:left w:val="single" w:color="auto" w:sz="4" w:space="0"/>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74" w:hRule="atLeast"/>
        </w:trPr>
        <w:tc>
          <w:tcPr>
            <w:tcW w:w="71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7</w:t>
            </w:r>
          </w:p>
        </w:tc>
        <w:tc>
          <w:tcPr>
            <w:tcW w:w="184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户外广告设施设置人未履行相关维护管理责任的</w:t>
            </w:r>
          </w:p>
        </w:tc>
        <w:tc>
          <w:tcPr>
            <w:tcW w:w="1985"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《江门市户外广告设施和招牌设置管理条例》第四十四条</w:t>
            </w:r>
          </w:p>
        </w:tc>
        <w:tc>
          <w:tcPr>
            <w:tcW w:w="2126"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责令限期改正；逾期不改正的，处五千元以上三万元以下罚款；造成他人损害的，依法承担民事责任</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6"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处5000元以上1万元以下罚款</w:t>
            </w:r>
          </w:p>
        </w:tc>
        <w:tc>
          <w:tcPr>
            <w:tcW w:w="1134" w:type="dxa"/>
            <w:tcBorders>
              <w:top w:val="single" w:color="auto" w:sz="4" w:space="0"/>
              <w:left w:val="nil"/>
              <w:bottom w:val="single" w:color="auto" w:sz="4" w:space="0"/>
              <w:right w:val="single" w:color="auto" w:sz="4" w:space="0"/>
            </w:tcBorders>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71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6"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处1万元以上2万元以下罚款</w:t>
            </w:r>
          </w:p>
        </w:tc>
        <w:tc>
          <w:tcPr>
            <w:tcW w:w="1134" w:type="dxa"/>
            <w:tcBorders>
              <w:top w:val="single" w:color="auto" w:sz="4" w:space="0"/>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44" w:hRule="atLeast"/>
        </w:trPr>
        <w:tc>
          <w:tcPr>
            <w:tcW w:w="710"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6"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处2万元以上3万元以下罚款</w:t>
            </w:r>
          </w:p>
        </w:tc>
        <w:tc>
          <w:tcPr>
            <w:tcW w:w="1134" w:type="dxa"/>
            <w:tcBorders>
              <w:top w:val="nil"/>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86" w:hRule="atLeast"/>
        </w:trPr>
        <w:tc>
          <w:tcPr>
            <w:tcW w:w="71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8</w:t>
            </w:r>
          </w:p>
        </w:tc>
        <w:tc>
          <w:tcPr>
            <w:tcW w:w="1842"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招牌设置人未履行相关维护管理责任的</w:t>
            </w:r>
          </w:p>
        </w:tc>
        <w:tc>
          <w:tcPr>
            <w:tcW w:w="1985"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《江门市户外广告设施和招牌设置管理条例》第四十五条</w:t>
            </w:r>
          </w:p>
        </w:tc>
        <w:tc>
          <w:tcPr>
            <w:tcW w:w="2126"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责令限期改正；逾期不改正的，处二百元以上二千元以下罚款；造成他人损害的，依法承担民事责任</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处200元以上800元以下罚款</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6"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处800元以上1400元以下罚款</w:t>
            </w:r>
          </w:p>
        </w:tc>
        <w:tc>
          <w:tcPr>
            <w:tcW w:w="1134" w:type="dxa"/>
            <w:tcBorders>
              <w:top w:val="single" w:color="auto" w:sz="4" w:space="0"/>
              <w:left w:val="nil"/>
              <w:bottom w:val="single" w:color="auto" w:sz="2"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42"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985"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126" w:type="dxa"/>
            <w:vMerge w:val="continue"/>
            <w:tcBorders>
              <w:top w:val="single" w:color="000000" w:sz="4" w:space="0"/>
              <w:left w:val="single" w:color="auto" w:sz="4" w:space="0"/>
              <w:bottom w:val="single" w:color="auto" w:sz="2"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418"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严重</w:t>
            </w:r>
          </w:p>
        </w:tc>
        <w:tc>
          <w:tcPr>
            <w:tcW w:w="2976"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3119"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处1400元以上2000元以下罚款</w:t>
            </w:r>
          </w:p>
        </w:tc>
        <w:tc>
          <w:tcPr>
            <w:tcW w:w="1134" w:type="dxa"/>
            <w:tcBorders>
              <w:top w:val="single" w:color="auto" w:sz="2" w:space="0"/>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bl>
    <w:p>
      <w:pPr>
        <w:rPr>
          <w:b/>
          <w:color w:val="000000"/>
          <w:highlight w:val="none"/>
        </w:rPr>
      </w:pPr>
      <w:r>
        <w:rPr>
          <w:rFonts w:hint="eastAsia"/>
          <w:b/>
          <w:color w:val="000000"/>
          <w:highlight w:val="none"/>
        </w:rPr>
        <w:t>注：表格中“违法情节和后果”一栏的“以上”包括本数，“以下、以内、，内”不包括本数。“行政处罚”一栏的“以上”“以下”含义均同对应法律原文含义。</w:t>
      </w:r>
    </w:p>
    <w:p>
      <w:pPr>
        <w:rPr>
          <w:highlight w:val="none"/>
        </w:rPr>
      </w:pPr>
    </w:p>
    <w:p>
      <w:pPr>
        <w:rPr>
          <w:highlight w:val="none"/>
        </w:rPr>
      </w:pPr>
    </w:p>
    <w:p>
      <w:pPr>
        <w:rPr>
          <w:highlight w:val="none"/>
        </w:rPr>
      </w:pPr>
    </w:p>
    <w:p>
      <w:pPr>
        <w:rPr>
          <w:highlight w:val="none"/>
        </w:rPr>
      </w:pPr>
    </w:p>
    <w:p>
      <w:pPr>
        <w:rPr>
          <w:rFonts w:ascii="宋体" w:hAnsi="宋体" w:cs="宋体"/>
          <w:b/>
          <w:bCs/>
          <w:kern w:val="0"/>
          <w:sz w:val="44"/>
          <w:szCs w:val="40"/>
          <w:highlight w:val="none"/>
        </w:rPr>
      </w:pPr>
    </w:p>
    <w:p>
      <w:pPr>
        <w:jc w:val="center"/>
        <w:rPr>
          <w:rFonts w:hint="eastAsia" w:ascii="宋体" w:hAnsi="宋体" w:cs="宋体"/>
          <w:b/>
          <w:bCs/>
          <w:kern w:val="0"/>
          <w:sz w:val="44"/>
          <w:szCs w:val="40"/>
          <w:highlight w:val="none"/>
        </w:rPr>
      </w:pPr>
      <w:r>
        <w:rPr>
          <w:rFonts w:hint="eastAsia" w:ascii="宋体" w:hAnsi="宋体" w:cs="宋体"/>
          <w:b/>
          <w:bCs/>
          <w:kern w:val="0"/>
          <w:sz w:val="44"/>
          <w:szCs w:val="40"/>
          <w:highlight w:val="none"/>
        </w:rPr>
        <w:t>第三部分 扬尘污染类</w:t>
      </w:r>
    </w:p>
    <w:tbl>
      <w:tblPr>
        <w:tblStyle w:val="7"/>
        <w:tblW w:w="14616" w:type="dxa"/>
        <w:tblInd w:w="93" w:type="dxa"/>
        <w:tblLayout w:type="fixed"/>
        <w:tblCellMar>
          <w:top w:w="0" w:type="dxa"/>
          <w:left w:w="108" w:type="dxa"/>
          <w:bottom w:w="0" w:type="dxa"/>
          <w:right w:w="108" w:type="dxa"/>
        </w:tblCellMar>
      </w:tblPr>
      <w:tblGrid>
        <w:gridCol w:w="700"/>
        <w:gridCol w:w="2859"/>
        <w:gridCol w:w="2600"/>
        <w:gridCol w:w="1773"/>
        <w:gridCol w:w="1297"/>
        <w:gridCol w:w="2471"/>
        <w:gridCol w:w="1911"/>
        <w:gridCol w:w="1005"/>
      </w:tblGrid>
      <w:tr>
        <w:tblPrEx>
          <w:tblCellMar>
            <w:top w:w="0" w:type="dxa"/>
            <w:left w:w="108" w:type="dxa"/>
            <w:bottom w:w="0" w:type="dxa"/>
            <w:right w:w="108" w:type="dxa"/>
          </w:tblCellMar>
        </w:tblPrEx>
        <w:trPr>
          <w:trHeight w:val="675"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序号</w:t>
            </w:r>
          </w:p>
        </w:tc>
        <w:tc>
          <w:tcPr>
            <w:tcW w:w="2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违法违规行为</w:t>
            </w:r>
          </w:p>
        </w:tc>
        <w:tc>
          <w:tcPr>
            <w:tcW w:w="2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处罚法律依据</w:t>
            </w:r>
          </w:p>
        </w:tc>
        <w:tc>
          <w:tcPr>
            <w:tcW w:w="17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法定处罚标准</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裁量档次</w:t>
            </w:r>
          </w:p>
        </w:tc>
        <w:tc>
          <w:tcPr>
            <w:tcW w:w="24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违法情节和后果</w:t>
            </w:r>
          </w:p>
        </w:tc>
        <w:tc>
          <w:tcPr>
            <w:tcW w:w="19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处罚自由裁量基准</w:t>
            </w:r>
          </w:p>
        </w:tc>
        <w:tc>
          <w:tcPr>
            <w:tcW w:w="1005" w:type="dxa"/>
            <w:tcBorders>
              <w:top w:val="single" w:color="auto" w:sz="4" w:space="0"/>
              <w:left w:val="nil"/>
              <w:bottom w:val="single" w:color="auto" w:sz="4" w:space="0"/>
              <w:right w:val="single" w:color="auto" w:sz="4" w:space="0"/>
            </w:tcBorders>
          </w:tcPr>
          <w:p>
            <w:pPr>
              <w:widowControl/>
              <w:jc w:val="center"/>
              <w:rPr>
                <w:rFonts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其他处理</w:t>
            </w:r>
          </w:p>
        </w:tc>
      </w:tr>
      <w:tr>
        <w:tblPrEx>
          <w:tblCellMar>
            <w:top w:w="0" w:type="dxa"/>
            <w:left w:w="108" w:type="dxa"/>
            <w:bottom w:w="0" w:type="dxa"/>
            <w:right w:w="108" w:type="dxa"/>
          </w:tblCellMar>
        </w:tblPrEx>
        <w:trPr>
          <w:trHeight w:val="620" w:hRule="atLeast"/>
        </w:trPr>
        <w:tc>
          <w:tcPr>
            <w:tcW w:w="70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default"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w:t>
            </w:r>
          </w:p>
        </w:tc>
        <w:tc>
          <w:tcPr>
            <w:tcW w:w="2859" w:type="dxa"/>
            <w:vMerge w:val="restart"/>
            <w:tcBorders>
              <w:top w:val="single" w:color="auto" w:sz="4" w:space="0"/>
              <w:left w:val="nil"/>
              <w:right w:val="single" w:color="auto" w:sz="4" w:space="0"/>
            </w:tcBorders>
            <w:shd w:val="clear" w:color="auto" w:fill="auto"/>
            <w:vAlign w:val="center"/>
          </w:tcPr>
          <w:p>
            <w:pPr>
              <w:widowControl/>
              <w:jc w:val="center"/>
              <w:rPr>
                <w:rFonts w:hint="default"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施工单位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建立扬尘污染防治工作台账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600" w:type="dxa"/>
            <w:vMerge w:val="restart"/>
            <w:tcBorders>
              <w:top w:val="single" w:color="auto" w:sz="4" w:space="0"/>
              <w:left w:val="nil"/>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1773" w:type="dxa"/>
            <w:vMerge w:val="restart"/>
            <w:tcBorders>
              <w:top w:val="single" w:color="auto" w:sz="4" w:space="0"/>
              <w:left w:val="nil"/>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责令改正，处五千元以上二万元以下的罚款；拒不改正的，责令停工整治。</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w:t>
            </w:r>
            <w:r>
              <w:rPr>
                <w:rFonts w:hint="default" w:ascii="仿宋_GB2312" w:hAnsi="微软雅黑" w:eastAsia="仿宋_GB2312" w:cs="宋体"/>
                <w:color w:val="000000" w:themeColor="text1"/>
                <w:kern w:val="0"/>
                <w:sz w:val="24"/>
                <w:szCs w:val="24"/>
                <w:highlight w:val="none"/>
                <w14:textFill>
                  <w14:solidFill>
                    <w14:schemeClr w14:val="tx1"/>
                  </w14:solidFill>
                </w14:textFill>
              </w:rPr>
              <w:t>20个施工作业日以下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5千</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restart"/>
            <w:tcBorders>
              <w:top w:val="single" w:color="auto" w:sz="4" w:space="0"/>
              <w:left w:val="single" w:color="auto" w:sz="4" w:space="0"/>
              <w:right w:val="single" w:color="auto" w:sz="4" w:space="0"/>
            </w:tcBorders>
          </w:tcPr>
          <w:p>
            <w:pPr>
              <w:widowControl/>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w:t>
            </w:r>
          </w:p>
        </w:tc>
      </w:tr>
      <w:tr>
        <w:tblPrEx>
          <w:tblCellMar>
            <w:top w:w="0" w:type="dxa"/>
            <w:left w:w="108" w:type="dxa"/>
            <w:bottom w:w="0" w:type="dxa"/>
            <w:right w:w="108" w:type="dxa"/>
          </w:tblCellMar>
        </w:tblPrEx>
        <w:trPr>
          <w:trHeight w:val="620" w:hRule="atLeast"/>
        </w:trPr>
        <w:tc>
          <w:tcPr>
            <w:tcW w:w="700" w:type="dxa"/>
            <w:vMerge w:val="continue"/>
            <w:tcBorders>
              <w:left w:val="single" w:color="auto" w:sz="4" w:space="0"/>
              <w:right w:val="single" w:color="auto" w:sz="4" w:space="0"/>
            </w:tcBorders>
            <w:shd w:val="clear" w:color="auto" w:fill="auto"/>
            <w:noWrap/>
            <w:vAlign w:val="center"/>
          </w:tcPr>
          <w:p>
            <w:pPr>
              <w:widowControl/>
              <w:jc w:val="center"/>
              <w:rPr>
                <w:highlight w:val="none"/>
              </w:rPr>
            </w:pPr>
          </w:p>
        </w:tc>
        <w:tc>
          <w:tcPr>
            <w:tcW w:w="2859" w:type="dxa"/>
            <w:vMerge w:val="continue"/>
            <w:tcBorders>
              <w:left w:val="nil"/>
              <w:right w:val="single" w:color="auto" w:sz="4" w:space="0"/>
            </w:tcBorders>
            <w:shd w:val="clear" w:color="auto" w:fill="auto"/>
            <w:vAlign w:val="center"/>
          </w:tcPr>
          <w:p>
            <w:pPr>
              <w:widowControl/>
              <w:jc w:val="center"/>
              <w:rPr>
                <w:highlight w:val="none"/>
              </w:rPr>
            </w:pPr>
          </w:p>
        </w:tc>
        <w:tc>
          <w:tcPr>
            <w:tcW w:w="2600" w:type="dxa"/>
            <w:vMerge w:val="continue"/>
            <w:tcBorders>
              <w:left w:val="nil"/>
              <w:right w:val="single" w:color="auto" w:sz="4" w:space="0"/>
            </w:tcBorders>
            <w:shd w:val="clear" w:color="auto" w:fill="auto"/>
            <w:vAlign w:val="center"/>
          </w:tcPr>
          <w:p>
            <w:pPr>
              <w:widowControl/>
              <w:jc w:val="center"/>
              <w:rPr>
                <w:highlight w:val="none"/>
              </w:rPr>
            </w:pPr>
          </w:p>
        </w:tc>
        <w:tc>
          <w:tcPr>
            <w:tcW w:w="1773" w:type="dxa"/>
            <w:vMerge w:val="continue"/>
            <w:tcBorders>
              <w:left w:val="nil"/>
              <w:right w:val="single" w:color="auto" w:sz="4" w:space="0"/>
            </w:tcBorders>
            <w:shd w:val="clear" w:color="auto" w:fill="auto"/>
            <w:vAlign w:val="center"/>
          </w:tcPr>
          <w:p>
            <w:pPr>
              <w:widowControl/>
              <w:jc w:val="center"/>
              <w:rPr>
                <w:highlight w:val="none"/>
              </w:rPr>
            </w:pP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w:t>
            </w:r>
            <w:r>
              <w:rPr>
                <w:rFonts w:hint="default" w:ascii="仿宋_GB2312" w:hAnsi="微软雅黑" w:eastAsia="仿宋_GB2312" w:cs="宋体"/>
                <w:color w:val="000000" w:themeColor="text1"/>
                <w:kern w:val="0"/>
                <w:sz w:val="24"/>
                <w:szCs w:val="24"/>
                <w:highlight w:val="none"/>
                <w14:textFill>
                  <w14:solidFill>
                    <w14:schemeClr w14:val="tx1"/>
                  </w14:solidFill>
                </w14:textFill>
              </w:rPr>
              <w:t>20个以上40个以下施工作业日</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continue"/>
            <w:tcBorders>
              <w:left w:val="single" w:color="auto" w:sz="4" w:space="0"/>
              <w:right w:val="single" w:color="auto" w:sz="4" w:space="0"/>
            </w:tcBorders>
          </w:tcPr>
          <w:p>
            <w:pPr>
              <w:widowControl/>
              <w:jc w:val="center"/>
              <w:rPr>
                <w:rFonts w:hint="eastAsia" w:ascii="宋体" w:hAnsi="宋体" w:cs="宋体"/>
                <w:b/>
                <w:bCs/>
                <w:kern w:val="0"/>
                <w:sz w:val="24"/>
                <w:szCs w:val="21"/>
                <w:highlight w:val="none"/>
              </w:rPr>
            </w:pPr>
          </w:p>
        </w:tc>
      </w:tr>
      <w:tr>
        <w:tblPrEx>
          <w:tblCellMar>
            <w:top w:w="0" w:type="dxa"/>
            <w:left w:w="108" w:type="dxa"/>
            <w:bottom w:w="0" w:type="dxa"/>
            <w:right w:w="108" w:type="dxa"/>
          </w:tblCellMar>
        </w:tblPrEx>
        <w:trPr>
          <w:trHeight w:val="620" w:hRule="atLeast"/>
        </w:trPr>
        <w:tc>
          <w:tcPr>
            <w:tcW w:w="70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b/>
                <w:bCs/>
                <w:kern w:val="0"/>
                <w:sz w:val="24"/>
                <w:szCs w:val="21"/>
                <w:highlight w:val="none"/>
              </w:rPr>
            </w:pPr>
          </w:p>
        </w:tc>
        <w:tc>
          <w:tcPr>
            <w:tcW w:w="2859"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p>
        </w:tc>
        <w:tc>
          <w:tcPr>
            <w:tcW w:w="2600"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p>
        </w:tc>
        <w:tc>
          <w:tcPr>
            <w:tcW w:w="1773"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40个施工作业日以上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continue"/>
            <w:tcBorders>
              <w:left w:val="single" w:color="auto" w:sz="4" w:space="0"/>
              <w:bottom w:val="single" w:color="auto" w:sz="4" w:space="0"/>
              <w:right w:val="single" w:color="auto" w:sz="4" w:space="0"/>
            </w:tcBorders>
          </w:tcPr>
          <w:p>
            <w:pPr>
              <w:widowControl/>
              <w:jc w:val="center"/>
              <w:rPr>
                <w:rFonts w:hint="eastAsia" w:ascii="宋体" w:hAnsi="宋体" w:cs="宋体"/>
                <w:b/>
                <w:bCs/>
                <w:kern w:val="0"/>
                <w:sz w:val="24"/>
                <w:szCs w:val="21"/>
                <w:highlight w:val="none"/>
              </w:rPr>
            </w:pPr>
          </w:p>
        </w:tc>
      </w:tr>
      <w:tr>
        <w:tblPrEx>
          <w:tblCellMar>
            <w:top w:w="0" w:type="dxa"/>
            <w:left w:w="108" w:type="dxa"/>
            <w:bottom w:w="0" w:type="dxa"/>
            <w:right w:w="108" w:type="dxa"/>
          </w:tblCellMar>
        </w:tblPrEx>
        <w:trPr>
          <w:trHeight w:val="90" w:hRule="atLeast"/>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施工工地未设置硬质密闭围挡，或者未采取覆盖、分段作业、择时施工、洒水抑尘、冲洗地面和车辆等扬尘污染防治措施的 </w:t>
            </w:r>
          </w:p>
        </w:tc>
        <w:tc>
          <w:tcPr>
            <w:tcW w:w="2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第一项</w:t>
            </w:r>
          </w:p>
        </w:tc>
        <w:tc>
          <w:tcPr>
            <w:tcW w:w="17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责令限期改正，处五万元以上十万元以下罚款；拒不改正的，责令其停工整顿</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具有以下违法行为1-3项的</w:t>
            </w:r>
          </w:p>
          <w:p>
            <w:pPr>
              <w:pStyle w:val="13"/>
              <w:keepNext w:val="0"/>
              <w:keepLines w:val="0"/>
              <w:pageBreakBefore w:val="0"/>
              <w:widowControl/>
              <w:kinsoku/>
              <w:wordWrap/>
              <w:overflowPunct/>
              <w:topLinePunct w:val="0"/>
              <w:autoSpaceDE/>
              <w:autoSpaceDN/>
              <w:bidi w:val="0"/>
              <w:adjustRightInd/>
              <w:snapToGrid/>
              <w:spacing w:line="280" w:lineRule="exact"/>
              <w:ind w:firstLine="240" w:firstLineChars="100"/>
              <w:contextualSpacing/>
              <w:jc w:val="left"/>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（3）未采取分段作业措施；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（4）未采取择时施工措施；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（5）未采取洒水抑尘措施；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（6）未采取冲洗地面措施；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（7）未采取冲洗车辆措施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restart"/>
            <w:tcBorders>
              <w:top w:val="single" w:color="auto" w:sz="4" w:space="0"/>
              <w:left w:val="single" w:color="auto" w:sz="4" w:space="0"/>
              <w:right w:val="single" w:color="auto" w:sz="4" w:space="0"/>
            </w:tcBorders>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顿</w:t>
            </w:r>
          </w:p>
        </w:tc>
      </w:tr>
      <w:tr>
        <w:tblPrEx>
          <w:tblCellMar>
            <w:top w:w="0" w:type="dxa"/>
            <w:left w:w="108" w:type="dxa"/>
            <w:bottom w:w="0" w:type="dxa"/>
            <w:right w:w="108" w:type="dxa"/>
          </w:tblCellMar>
        </w:tblPrEx>
        <w:trPr>
          <w:trHeight w:val="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具有以下违法行为4-6项的</w:t>
            </w:r>
          </w:p>
          <w:p>
            <w:pPr>
              <w:pStyle w:val="13"/>
              <w:keepNext w:val="0"/>
              <w:keepLines w:val="0"/>
              <w:pageBreakBefore w:val="0"/>
              <w:widowControl/>
              <w:kinsoku/>
              <w:wordWrap/>
              <w:overflowPunct/>
              <w:topLinePunct w:val="0"/>
              <w:autoSpaceDE/>
              <w:autoSpaceDN/>
              <w:bidi w:val="0"/>
              <w:adjustRightInd/>
              <w:snapToGrid/>
              <w:spacing w:line="280" w:lineRule="exact"/>
              <w:ind w:firstLine="480" w:firstLineChars="200"/>
              <w:contextualSpacing/>
              <w:jc w:val="left"/>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（3）未采取分段作业措施；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（4）未采取择时施工措施；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（5）未采取洒水抑尘措施；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（6）未采取冲洗地面措施；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（7）未采取冲洗车辆措施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tc>
        <w:tc>
          <w:tcPr>
            <w:tcW w:w="191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continue"/>
            <w:tcBorders>
              <w:left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051"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具有以下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所有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违法行为的</w:t>
            </w:r>
          </w:p>
          <w:p>
            <w:pPr>
              <w:pStyle w:val="13"/>
              <w:keepNext w:val="0"/>
              <w:keepLines w:val="0"/>
              <w:pageBreakBefore w:val="0"/>
              <w:widowControl/>
              <w:kinsoku/>
              <w:wordWrap/>
              <w:overflowPunct/>
              <w:topLinePunct w:val="0"/>
              <w:autoSpaceDE/>
              <w:autoSpaceDN/>
              <w:bidi w:val="0"/>
              <w:adjustRightInd/>
              <w:snapToGrid/>
              <w:spacing w:line="280" w:lineRule="exact"/>
              <w:ind w:left="34" w:firstLine="240" w:firstLineChars="100"/>
              <w:contextualSpacing/>
              <w:jc w:val="left"/>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（3）未采取分段作业措施；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（4）未采取择时施工措施；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（5）未采取洒水抑尘措施；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（6）未采取冲洗地面措施；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（7）未采取冲洗车辆措施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tc>
        <w:tc>
          <w:tcPr>
            <w:tcW w:w="191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w:t>
            </w:r>
            <w:r>
              <w:rPr>
                <w:rFonts w:ascii="仿宋_GB2312" w:hAnsi="微软雅黑" w:eastAsia="仿宋_GB2312" w:cs="宋体"/>
                <w:color w:val="000000" w:themeColor="text1"/>
                <w:kern w:val="0"/>
                <w:sz w:val="24"/>
                <w:szCs w:val="24"/>
                <w:highlight w:val="none"/>
                <w14:textFill>
                  <w14:solidFill>
                    <w14:schemeClr w14:val="tx1"/>
                  </w14:solidFill>
                </w14:textFill>
              </w:rPr>
              <w:t xml:space="preserve"> </w:t>
            </w:r>
          </w:p>
        </w:tc>
        <w:tc>
          <w:tcPr>
            <w:tcW w:w="1005" w:type="dxa"/>
            <w:vMerge w:val="continue"/>
            <w:tcBorders>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143" w:hRule="atLeast"/>
        </w:trPr>
        <w:tc>
          <w:tcPr>
            <w:tcW w:w="700" w:type="dxa"/>
            <w:vMerge w:val="restart"/>
            <w:tcBorders>
              <w:top w:val="single" w:color="auto" w:sz="4" w:space="0"/>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p>
        </w:tc>
        <w:tc>
          <w:tcPr>
            <w:tcW w:w="2859" w:type="dxa"/>
            <w:vMerge w:val="restart"/>
            <w:tcBorders>
              <w:top w:val="single" w:color="auto" w:sz="4" w:space="0"/>
              <w:left w:val="single" w:color="auto" w:sz="4" w:space="0"/>
              <w:right w:val="single" w:color="auto" w:sz="4" w:space="0"/>
            </w:tcBorders>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未采用符合标准的密目防尘网或者防尘布遮盖在施工工地内堆存的建筑土方、建筑垃圾、渣土和散装物料的</w:t>
            </w:r>
          </w:p>
        </w:tc>
        <w:tc>
          <w:tcPr>
            <w:tcW w:w="2600" w:type="dxa"/>
            <w:vMerge w:val="restart"/>
            <w:tcBorders>
              <w:top w:val="single" w:color="auto" w:sz="4" w:space="0"/>
              <w:left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第二项</w:t>
            </w:r>
          </w:p>
        </w:tc>
        <w:tc>
          <w:tcPr>
            <w:tcW w:w="177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责令限期改正，处五万元以上十万元以下罚款；拒不改正的，责令其停工整顿</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物料占地面积在300平方米以下的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restart"/>
            <w:tcBorders>
              <w:top w:val="single" w:color="auto" w:sz="4" w:space="0"/>
              <w:left w:val="single" w:color="auto" w:sz="4" w:space="0"/>
              <w:right w:val="single" w:color="auto" w:sz="4" w:space="0"/>
            </w:tcBorders>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顿</w:t>
            </w:r>
          </w:p>
        </w:tc>
      </w:tr>
      <w:tr>
        <w:tblPrEx>
          <w:tblCellMar>
            <w:top w:w="0" w:type="dxa"/>
            <w:left w:w="108" w:type="dxa"/>
            <w:bottom w:w="0" w:type="dxa"/>
            <w:right w:w="108" w:type="dxa"/>
          </w:tblCellMar>
        </w:tblPrEx>
        <w:trPr>
          <w:trHeight w:val="2143" w:hRule="atLeast"/>
        </w:trPr>
        <w:tc>
          <w:tcPr>
            <w:tcW w:w="700"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2859"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2600"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1773"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物料占地面积在300平方米以上600平方米以下的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143" w:hRule="atLeast"/>
        </w:trPr>
        <w:tc>
          <w:tcPr>
            <w:tcW w:w="700"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物料占地面积在600平方米以上的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w:t>
            </w:r>
          </w:p>
        </w:tc>
        <w:tc>
          <w:tcPr>
            <w:tcW w:w="1005"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0" w:hRule="atLeast"/>
        </w:trPr>
        <w:tc>
          <w:tcPr>
            <w:tcW w:w="700" w:type="dxa"/>
            <w:vMerge w:val="restart"/>
            <w:tcBorders>
              <w:top w:val="single" w:color="auto" w:sz="4" w:space="0"/>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p>
        </w:tc>
        <w:tc>
          <w:tcPr>
            <w:tcW w:w="2859" w:type="dxa"/>
            <w:vMerge w:val="restart"/>
            <w:tcBorders>
              <w:top w:val="single" w:color="auto" w:sz="4" w:space="0"/>
              <w:left w:val="single" w:color="auto" w:sz="4" w:space="0"/>
              <w:right w:val="single" w:color="auto" w:sz="4" w:space="0"/>
            </w:tcBorders>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未及时清运建筑土方、建筑垃圾、渣土和散装物料的</w:t>
            </w:r>
          </w:p>
        </w:tc>
        <w:tc>
          <w:tcPr>
            <w:tcW w:w="2600" w:type="dxa"/>
            <w:vMerge w:val="restart"/>
            <w:tcBorders>
              <w:top w:val="single" w:color="auto" w:sz="4" w:space="0"/>
              <w:left w:val="single" w:color="auto" w:sz="4" w:space="0"/>
              <w:right w:val="single" w:color="auto" w:sz="4" w:space="0"/>
            </w:tcBorders>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第三项</w:t>
            </w:r>
          </w:p>
        </w:tc>
        <w:tc>
          <w:tcPr>
            <w:tcW w:w="177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责令限期改正，处五万元以上十万元以下罚款；拒不改正的，责令其停工整顿</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物料占地面积在300平方米以下的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restart"/>
            <w:tcBorders>
              <w:top w:val="single" w:color="auto" w:sz="4" w:space="0"/>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顿</w:t>
            </w:r>
          </w:p>
        </w:tc>
      </w:tr>
      <w:tr>
        <w:tblPrEx>
          <w:tblCellMar>
            <w:top w:w="0" w:type="dxa"/>
            <w:left w:w="108" w:type="dxa"/>
            <w:bottom w:w="0" w:type="dxa"/>
            <w:right w:w="108" w:type="dxa"/>
          </w:tblCellMar>
        </w:tblPrEx>
        <w:trPr>
          <w:trHeight w:val="560" w:hRule="atLeast"/>
        </w:trPr>
        <w:tc>
          <w:tcPr>
            <w:tcW w:w="700" w:type="dxa"/>
            <w:vMerge w:val="continue"/>
            <w:tcBorders>
              <w:left w:val="single" w:color="auto" w:sz="4" w:space="0"/>
              <w:right w:val="single" w:color="auto" w:sz="4" w:space="0"/>
            </w:tcBorders>
            <w:vAlign w:val="center"/>
          </w:tcPr>
          <w:p>
            <w:pPr>
              <w:widowControl/>
              <w:spacing w:line="0" w:lineRule="atLeast"/>
              <w:contextualSpacing/>
              <w:jc w:val="center"/>
            </w:pPr>
          </w:p>
        </w:tc>
        <w:tc>
          <w:tcPr>
            <w:tcW w:w="2859" w:type="dxa"/>
            <w:vMerge w:val="continue"/>
            <w:tcBorders>
              <w:left w:val="single" w:color="auto" w:sz="4" w:space="0"/>
              <w:right w:val="single" w:color="auto" w:sz="4" w:space="0"/>
            </w:tcBorders>
            <w:vAlign w:val="center"/>
          </w:tcPr>
          <w:p>
            <w:pPr>
              <w:widowControl/>
              <w:spacing w:line="0" w:lineRule="atLeast"/>
              <w:contextualSpacing/>
              <w:jc w:val="center"/>
            </w:pPr>
          </w:p>
        </w:tc>
        <w:tc>
          <w:tcPr>
            <w:tcW w:w="2600" w:type="dxa"/>
            <w:vMerge w:val="continue"/>
            <w:tcBorders>
              <w:left w:val="single" w:color="auto" w:sz="4" w:space="0"/>
              <w:right w:val="single" w:color="auto" w:sz="4" w:space="0"/>
            </w:tcBorders>
            <w:vAlign w:val="center"/>
          </w:tcPr>
          <w:p>
            <w:pPr>
              <w:widowControl/>
              <w:spacing w:line="0" w:lineRule="atLeast"/>
              <w:contextualSpacing/>
              <w:jc w:val="center"/>
            </w:pPr>
          </w:p>
        </w:tc>
        <w:tc>
          <w:tcPr>
            <w:tcW w:w="1773" w:type="dxa"/>
            <w:vMerge w:val="continue"/>
            <w:tcBorders>
              <w:left w:val="single" w:color="auto" w:sz="4" w:space="0"/>
              <w:right w:val="single" w:color="auto" w:sz="4" w:space="0"/>
            </w:tcBorders>
            <w:vAlign w:val="center"/>
          </w:tcPr>
          <w:p>
            <w:pPr>
              <w:widowControl/>
              <w:spacing w:line="0" w:lineRule="atLeast"/>
              <w:contextualSpacing/>
              <w:jc w:val="cente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物料占地面积在300平方米以上600平方米以下的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0" w:hRule="atLeast"/>
        </w:trPr>
        <w:tc>
          <w:tcPr>
            <w:tcW w:w="700"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物料占地面积在600平方米以上的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w:t>
            </w:r>
          </w:p>
        </w:tc>
        <w:tc>
          <w:tcPr>
            <w:tcW w:w="1005"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30" w:hRule="atLeast"/>
        </w:trPr>
        <w:tc>
          <w:tcPr>
            <w:tcW w:w="700" w:type="dxa"/>
            <w:vMerge w:val="restart"/>
            <w:tcBorders>
              <w:top w:val="single" w:color="auto" w:sz="4" w:space="0"/>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p>
        </w:tc>
        <w:tc>
          <w:tcPr>
            <w:tcW w:w="2859" w:type="dxa"/>
            <w:vMerge w:val="restart"/>
            <w:tcBorders>
              <w:top w:val="single" w:color="auto" w:sz="4" w:space="0"/>
              <w:left w:val="single" w:color="auto" w:sz="4" w:space="0"/>
              <w:right w:val="single" w:color="auto" w:sz="4" w:space="0"/>
            </w:tcBorders>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贮存水泥、石灰、石膏、砂土等的场所未密闭水泥、石灰、石膏、砂土等易产生扬尘的物料的</w:t>
            </w:r>
          </w:p>
        </w:tc>
        <w:tc>
          <w:tcPr>
            <w:tcW w:w="2600" w:type="dxa"/>
            <w:vMerge w:val="restart"/>
            <w:tcBorders>
              <w:top w:val="single" w:color="auto" w:sz="4" w:space="0"/>
              <w:left w:val="single" w:color="auto" w:sz="4" w:space="0"/>
              <w:right w:val="single" w:color="auto" w:sz="4" w:space="0"/>
            </w:tcBorders>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第一项</w:t>
            </w:r>
          </w:p>
        </w:tc>
        <w:tc>
          <w:tcPr>
            <w:tcW w:w="177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面积在300平方米以内的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005" w:type="dxa"/>
            <w:vMerge w:val="restart"/>
            <w:tcBorders>
              <w:top w:val="single" w:color="auto" w:sz="4" w:space="0"/>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治</w:t>
            </w:r>
          </w:p>
        </w:tc>
      </w:tr>
      <w:tr>
        <w:tblPrEx>
          <w:tblCellMar>
            <w:top w:w="0" w:type="dxa"/>
            <w:left w:w="108" w:type="dxa"/>
            <w:bottom w:w="0" w:type="dxa"/>
            <w:right w:w="108" w:type="dxa"/>
          </w:tblCellMar>
        </w:tblPrEx>
        <w:trPr>
          <w:trHeight w:val="930" w:hRule="atLeast"/>
        </w:trPr>
        <w:tc>
          <w:tcPr>
            <w:tcW w:w="700"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2859"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2600"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1773"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面积在300平方米以上600平方米以内</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005"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930" w:hRule="atLeast"/>
        </w:trPr>
        <w:tc>
          <w:tcPr>
            <w:tcW w:w="700"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面积在600平方米以上</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005"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729" w:hRule="atLeast"/>
        </w:trPr>
        <w:tc>
          <w:tcPr>
            <w:tcW w:w="700" w:type="dxa"/>
            <w:vMerge w:val="restart"/>
            <w:tcBorders>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p>
        </w:tc>
        <w:tc>
          <w:tcPr>
            <w:tcW w:w="2859" w:type="dxa"/>
            <w:vMerge w:val="restart"/>
            <w:tcBorders>
              <w:left w:val="single" w:color="auto" w:sz="4" w:space="0"/>
              <w:right w:val="single" w:color="auto" w:sz="4" w:space="0"/>
            </w:tcBorders>
            <w:vAlign w:val="center"/>
          </w:tcPr>
          <w:p>
            <w:pPr>
              <w:widowControl/>
              <w:spacing w:line="0" w:lineRule="atLeast"/>
              <w:contextualSpacing/>
              <w:jc w:val="both"/>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对不能密闭的易产生扬尘的物料，未设置不低于堆放物高度的严密围挡或者未采取有效覆盖措施防治扬尘污染的</w:t>
            </w:r>
          </w:p>
        </w:tc>
        <w:tc>
          <w:tcPr>
            <w:tcW w:w="2600" w:type="dxa"/>
            <w:vMerge w:val="restart"/>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第二项</w:t>
            </w:r>
          </w:p>
        </w:tc>
        <w:tc>
          <w:tcPr>
            <w:tcW w:w="1773" w:type="dxa"/>
            <w:vMerge w:val="restart"/>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面积在300平方米以内的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005" w:type="dxa"/>
            <w:vMerge w:val="restart"/>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治</w:t>
            </w:r>
          </w:p>
        </w:tc>
      </w:tr>
      <w:tr>
        <w:tblPrEx>
          <w:tblCellMar>
            <w:top w:w="0" w:type="dxa"/>
            <w:left w:w="108" w:type="dxa"/>
            <w:bottom w:w="0" w:type="dxa"/>
            <w:right w:w="108" w:type="dxa"/>
          </w:tblCellMar>
        </w:tblPrEx>
        <w:trPr>
          <w:trHeight w:val="729" w:hRule="atLeast"/>
        </w:trPr>
        <w:tc>
          <w:tcPr>
            <w:tcW w:w="700" w:type="dxa"/>
            <w:vMerge w:val="continue"/>
            <w:tcBorders>
              <w:left w:val="single" w:color="auto" w:sz="4" w:space="0"/>
              <w:right w:val="single" w:color="auto" w:sz="4" w:space="0"/>
            </w:tcBorders>
            <w:vAlign w:val="center"/>
          </w:tcPr>
          <w:p>
            <w:pPr>
              <w:widowControl/>
              <w:spacing w:line="0" w:lineRule="atLeast"/>
              <w:contextualSpacing/>
              <w:jc w:val="center"/>
            </w:pPr>
          </w:p>
        </w:tc>
        <w:tc>
          <w:tcPr>
            <w:tcW w:w="2859" w:type="dxa"/>
            <w:vMerge w:val="continue"/>
            <w:tcBorders>
              <w:left w:val="single" w:color="auto" w:sz="4" w:space="0"/>
              <w:right w:val="single" w:color="auto" w:sz="4" w:space="0"/>
            </w:tcBorders>
            <w:vAlign w:val="center"/>
          </w:tcPr>
          <w:p>
            <w:pPr>
              <w:widowControl/>
              <w:spacing w:line="0" w:lineRule="atLeast"/>
              <w:contextualSpacing/>
              <w:jc w:val="center"/>
            </w:pPr>
          </w:p>
        </w:tc>
        <w:tc>
          <w:tcPr>
            <w:tcW w:w="2600" w:type="dxa"/>
            <w:vMerge w:val="continue"/>
            <w:tcBorders>
              <w:left w:val="single" w:color="auto" w:sz="4" w:space="0"/>
              <w:right w:val="single" w:color="auto" w:sz="4" w:space="0"/>
            </w:tcBorders>
            <w:vAlign w:val="center"/>
          </w:tcPr>
          <w:p>
            <w:pPr>
              <w:widowControl/>
              <w:spacing w:line="0" w:lineRule="atLeast"/>
              <w:contextualSpacing/>
              <w:jc w:val="center"/>
            </w:pPr>
          </w:p>
        </w:tc>
        <w:tc>
          <w:tcPr>
            <w:tcW w:w="1773" w:type="dxa"/>
            <w:vMerge w:val="continue"/>
            <w:tcBorders>
              <w:left w:val="single" w:color="auto" w:sz="4" w:space="0"/>
              <w:right w:val="single" w:color="auto" w:sz="4" w:space="0"/>
            </w:tcBorders>
            <w:vAlign w:val="center"/>
          </w:tcPr>
          <w:p>
            <w:pPr>
              <w:widowControl/>
              <w:spacing w:line="0" w:lineRule="atLeast"/>
              <w:contextualSpacing/>
              <w:jc w:val="cente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面积在300平方米以上600平方米以内</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005"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29" w:hRule="atLeast"/>
        </w:trPr>
        <w:tc>
          <w:tcPr>
            <w:tcW w:w="700"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面积在600平方米以上</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005" w:type="dxa"/>
            <w:vMerge w:val="continue"/>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26" w:hRule="atLeast"/>
        </w:trPr>
        <w:tc>
          <w:tcPr>
            <w:tcW w:w="700" w:type="dxa"/>
            <w:vMerge w:val="restart"/>
            <w:tcBorders>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7</w:t>
            </w:r>
          </w:p>
        </w:tc>
        <w:tc>
          <w:tcPr>
            <w:tcW w:w="2859" w:type="dxa"/>
            <w:vMerge w:val="restart"/>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填埋场和消纳场未采取有效措施防治扬尘污染的</w:t>
            </w:r>
          </w:p>
        </w:tc>
        <w:tc>
          <w:tcPr>
            <w:tcW w:w="2600" w:type="dxa"/>
            <w:vMerge w:val="restart"/>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第三项</w:t>
            </w:r>
          </w:p>
        </w:tc>
        <w:tc>
          <w:tcPr>
            <w:tcW w:w="1773" w:type="dxa"/>
            <w:vMerge w:val="restart"/>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未采取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防尘措施1-2项的</w:t>
            </w:r>
          </w:p>
          <w:p>
            <w:pPr>
              <w:pStyle w:val="13"/>
              <w:keepNext w:val="0"/>
              <w:keepLines w:val="0"/>
              <w:pageBreakBefore w:val="0"/>
              <w:widowControl/>
              <w:kinsoku/>
              <w:wordWrap/>
              <w:overflowPunct/>
              <w:topLinePunct w:val="0"/>
              <w:autoSpaceDE/>
              <w:autoSpaceDN/>
              <w:bidi w:val="0"/>
              <w:adjustRightInd/>
              <w:snapToGrid/>
              <w:spacing w:line="280" w:lineRule="exact"/>
              <w:ind w:firstLine="240" w:firstLineChars="100"/>
              <w:contextualSpacing/>
              <w:jc w:val="left"/>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）未采取择时</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作业</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）未采取洒水抑尘措施；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）未采取冲洗地面措施；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005" w:type="dxa"/>
            <w:vMerge w:val="restart"/>
            <w:tcBorders>
              <w:left w:val="single" w:color="auto" w:sz="4" w:space="0"/>
              <w:right w:val="single" w:color="auto" w:sz="4" w:space="0"/>
            </w:tcBorders>
            <w:vAlign w:val="center"/>
          </w:tcPr>
          <w:p>
            <w:pPr>
              <w:widowControl/>
              <w:spacing w:line="0" w:lineRule="atLeast"/>
              <w:contextualSpacing/>
              <w:jc w:val="cente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拒不改正的，责令停工整治或者停业整治</w:t>
            </w:r>
          </w:p>
        </w:tc>
      </w:tr>
      <w:tr>
        <w:tblPrEx>
          <w:tblCellMar>
            <w:top w:w="0" w:type="dxa"/>
            <w:left w:w="108" w:type="dxa"/>
            <w:bottom w:w="0" w:type="dxa"/>
            <w:right w:w="108" w:type="dxa"/>
          </w:tblCellMar>
        </w:tblPrEx>
        <w:trPr>
          <w:trHeight w:val="726" w:hRule="atLeast"/>
        </w:trPr>
        <w:tc>
          <w:tcPr>
            <w:tcW w:w="700"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2859"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2600"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1773"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未采取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防尘措施3-4项的</w:t>
            </w:r>
          </w:p>
          <w:p>
            <w:pPr>
              <w:pStyle w:val="13"/>
              <w:keepNext w:val="0"/>
              <w:keepLines w:val="0"/>
              <w:pageBreakBefore w:val="0"/>
              <w:widowControl/>
              <w:kinsoku/>
              <w:wordWrap/>
              <w:overflowPunct/>
              <w:topLinePunct w:val="0"/>
              <w:autoSpaceDE/>
              <w:autoSpaceDN/>
              <w:bidi w:val="0"/>
              <w:adjustRightInd/>
              <w:snapToGrid/>
              <w:spacing w:line="280" w:lineRule="exact"/>
              <w:ind w:firstLine="240" w:firstLineChars="100"/>
              <w:contextualSpacing/>
              <w:jc w:val="left"/>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）未采取择时</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作业</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）未采取洒水抑尘措施；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）未采取冲洗地面措施；</w:t>
            </w:r>
          </w:p>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005" w:type="dxa"/>
            <w:vMerge w:val="continue"/>
            <w:tcBorders>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26" w:hRule="atLeast"/>
        </w:trPr>
        <w:tc>
          <w:tcPr>
            <w:tcW w:w="700"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未采取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防尘措施5-6项的</w:t>
            </w:r>
          </w:p>
          <w:p>
            <w:pPr>
              <w:pStyle w:val="13"/>
              <w:keepNext w:val="0"/>
              <w:keepLines w:val="0"/>
              <w:pageBreakBefore w:val="0"/>
              <w:widowControl/>
              <w:kinsoku/>
              <w:wordWrap/>
              <w:overflowPunct/>
              <w:topLinePunct w:val="0"/>
              <w:autoSpaceDE/>
              <w:autoSpaceDN/>
              <w:bidi w:val="0"/>
              <w:adjustRightInd/>
              <w:snapToGrid/>
              <w:spacing w:line="280" w:lineRule="exact"/>
              <w:ind w:firstLine="240" w:firstLineChars="100"/>
              <w:contextualSpacing/>
              <w:jc w:val="left"/>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）未采取择时</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作业</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）未采取洒水抑尘措施；</w:t>
            </w:r>
          </w:p>
          <w:p>
            <w:pPr>
              <w:keepNext w:val="0"/>
              <w:keepLines w:val="0"/>
              <w:pageBreakBefore w:val="0"/>
              <w:widowControl/>
              <w:kinsoku/>
              <w:wordWrap/>
              <w:overflowPunct/>
              <w:topLinePunct w:val="0"/>
              <w:autoSpaceDE/>
              <w:autoSpaceDN/>
              <w:bidi w:val="0"/>
              <w:adjustRightInd/>
              <w:snapToGrid/>
              <w:spacing w:line="280" w:lineRule="exact"/>
              <w:contextualSpacing/>
              <w:textAlignment w:val="auto"/>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）未采取冲洗地面措施；</w:t>
            </w:r>
          </w:p>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005"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26" w:hRule="atLeast"/>
        </w:trPr>
        <w:tc>
          <w:tcPr>
            <w:tcW w:w="700" w:type="dxa"/>
            <w:vMerge w:val="restart"/>
            <w:tcBorders>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p>
        </w:tc>
        <w:tc>
          <w:tcPr>
            <w:tcW w:w="2859" w:type="dxa"/>
            <w:vMerge w:val="restart"/>
            <w:tcBorders>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装卸物料未采取有效的扬尘污染防治措施的</w:t>
            </w:r>
          </w:p>
        </w:tc>
        <w:tc>
          <w:tcPr>
            <w:tcW w:w="2600" w:type="dxa"/>
            <w:vMerge w:val="restart"/>
            <w:tcBorders>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第四项</w:t>
            </w:r>
          </w:p>
        </w:tc>
        <w:tc>
          <w:tcPr>
            <w:tcW w:w="1773" w:type="dxa"/>
            <w:vMerge w:val="restart"/>
            <w:tcBorders>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4车次</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005" w:type="dxa"/>
            <w:vMerge w:val="restart"/>
            <w:tcBorders>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拒不改正的，责令停工整治或者停业整治</w:t>
            </w:r>
          </w:p>
        </w:tc>
      </w:tr>
      <w:tr>
        <w:tblPrEx>
          <w:tblCellMar>
            <w:top w:w="0" w:type="dxa"/>
            <w:left w:w="108" w:type="dxa"/>
            <w:bottom w:w="0" w:type="dxa"/>
            <w:right w:w="108" w:type="dxa"/>
          </w:tblCellMar>
        </w:tblPrEx>
        <w:trPr>
          <w:trHeight w:val="726" w:hRule="atLeast"/>
        </w:trPr>
        <w:tc>
          <w:tcPr>
            <w:tcW w:w="700"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2859"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2600"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1773" w:type="dxa"/>
            <w:vMerge w:val="continue"/>
            <w:tcBorders>
              <w:left w:val="single" w:color="auto" w:sz="4" w:space="0"/>
              <w:right w:val="single" w:color="auto" w:sz="4" w:space="0"/>
            </w:tcBorders>
            <w:vAlign w:val="center"/>
          </w:tcPr>
          <w:p>
            <w:pPr>
              <w:widowControl/>
              <w:spacing w:line="0" w:lineRule="atLeast"/>
              <w:contextualSpacing/>
              <w:jc w:val="center"/>
              <w:rPr>
                <w:highlight w:val="none"/>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4车次</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上10车次以下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005" w:type="dxa"/>
            <w:vMerge w:val="continue"/>
            <w:tcBorders>
              <w:left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26" w:hRule="atLeast"/>
        </w:trPr>
        <w:tc>
          <w:tcPr>
            <w:tcW w:w="700"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10车次</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005" w:type="dxa"/>
            <w:vMerge w:val="continue"/>
            <w:tcBorders>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9</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建设单位对暂时不能开工的建设用地的裸露地面未进行覆盖、绿化、铺装或者遮盖的</w:t>
            </w:r>
          </w:p>
        </w:tc>
        <w:tc>
          <w:tcPr>
            <w:tcW w:w="2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六</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17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w:t>
            </w:r>
          </w:p>
        </w:tc>
        <w:tc>
          <w:tcPr>
            <w:tcW w:w="1297" w:type="dxa"/>
            <w:tcBorders>
              <w:top w:val="single" w:color="auto" w:sz="2" w:space="0"/>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初次违法，或在责令改正期限内完成改正的</w:t>
            </w:r>
          </w:p>
        </w:tc>
        <w:tc>
          <w:tcPr>
            <w:tcW w:w="191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restart"/>
            <w:tcBorders>
              <w:top w:val="single" w:color="auto" w:sz="4" w:space="0"/>
              <w:left w:val="nil"/>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1002"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超过责令改正期限未完成改正，经督办后改正；或半年内两次违反本条行为的</w:t>
            </w:r>
          </w:p>
        </w:tc>
        <w:tc>
          <w:tcPr>
            <w:tcW w:w="191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005" w:type="dxa"/>
            <w:vMerge w:val="continue"/>
            <w:tcBorders>
              <w:left w:val="nil"/>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超过责令改正期限未完成改正，经督办仍拒不改正；或半年内有三次以上违反本条行为的</w:t>
            </w:r>
          </w:p>
        </w:tc>
        <w:tc>
          <w:tcPr>
            <w:tcW w:w="191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万元以上10万元以下的罚款；拒不改正的，责令停工整治</w:t>
            </w:r>
          </w:p>
        </w:tc>
        <w:tc>
          <w:tcPr>
            <w:tcW w:w="1005" w:type="dxa"/>
            <w:vMerge w:val="continue"/>
            <w:tcBorders>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拒不执行停止工地土石方作业或者建筑物拆除施工等重污染天气应急措施的</w:t>
            </w:r>
          </w:p>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ind w:firstLine="240" w:firstLineChars="100"/>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七</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17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ind w:left="0" w:leftChars="0" w:firstLine="0" w:firstLine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二万元以上十万元以下罚款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29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施工作业面积在100平方米以内的</w:t>
            </w:r>
          </w:p>
        </w:tc>
        <w:tc>
          <w:tcPr>
            <w:tcW w:w="1911"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万元以上4万元以下的罚款</w:t>
            </w:r>
          </w:p>
        </w:tc>
        <w:tc>
          <w:tcPr>
            <w:tcW w:w="1005" w:type="dxa"/>
            <w:vMerge w:val="restart"/>
            <w:tcBorders>
              <w:top w:val="nil"/>
              <w:left w:val="nil"/>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bookmarkStart w:id="0" w:name="_GoBack"/>
            <w:bookmarkEnd w:id="0"/>
          </w:p>
        </w:tc>
      </w:tr>
      <w:tr>
        <w:tblPrEx>
          <w:tblCellMar>
            <w:top w:w="0" w:type="dxa"/>
            <w:left w:w="108" w:type="dxa"/>
            <w:bottom w:w="0" w:type="dxa"/>
            <w:right w:w="108" w:type="dxa"/>
          </w:tblCellMar>
        </w:tblPrEx>
        <w:trPr>
          <w:trHeight w:val="1002"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施工作业面积在100平方米以上</w:t>
            </w:r>
            <w:r>
              <w:rPr>
                <w:rFonts w:hint="eastAsia" w:ascii="仿宋_GB2312" w:hAnsi="微软雅黑" w:eastAsia="仿宋_GB2312" w:cs="宋体"/>
                <w:kern w:val="0"/>
                <w:sz w:val="24"/>
                <w:szCs w:val="24"/>
                <w:highlight w:val="none"/>
              </w:rPr>
              <w:t>200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平方米以内的</w:t>
            </w:r>
          </w:p>
        </w:tc>
        <w:tc>
          <w:tcPr>
            <w:tcW w:w="1911" w:type="dxa"/>
            <w:tcBorders>
              <w:top w:val="nil"/>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005" w:type="dxa"/>
            <w:vMerge w:val="continue"/>
            <w:tcBorders>
              <w:left w:val="nil"/>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67"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施工作业面积在200平方米以上的，或一年内发生两次以上违反本条行为的</w:t>
            </w:r>
          </w:p>
        </w:tc>
        <w:tc>
          <w:tcPr>
            <w:tcW w:w="191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005" w:type="dxa"/>
            <w:vMerge w:val="continue"/>
            <w:tcBorders>
              <w:left w:val="nil"/>
              <w:bottom w:val="single" w:color="auto" w:sz="4" w:space="0"/>
              <w:right w:val="single" w:color="auto" w:sz="4" w:space="0"/>
            </w:tcBorders>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728" w:hRule="atLeast"/>
        </w:trPr>
        <w:tc>
          <w:tcPr>
            <w:tcW w:w="7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11</w:t>
            </w:r>
          </w:p>
        </w:tc>
        <w:tc>
          <w:tcPr>
            <w:tcW w:w="28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以拒绝进入现场等方式拒不接受生态环境主管部门及其环境执法机构或者其他负有扬尘污染防治监督管理职责的部门的监督检查，或者在检查中弄虚作假的</w:t>
            </w:r>
          </w:p>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ind w:firstLine="240" w:firstLineChars="100"/>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八</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177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责令改正，处三万元以上二十万元以下罚款。</w:t>
            </w:r>
          </w:p>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nil"/>
              <w:bottom w:val="single" w:color="auto" w:sz="2"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7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允许负有扬尘污染防治监督管理职责的部门进入现场检查，但未按时提供相关资料的</w:t>
            </w:r>
          </w:p>
        </w:tc>
        <w:tc>
          <w:tcPr>
            <w:tcW w:w="191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万元以上8万元以下罚款</w:t>
            </w:r>
          </w:p>
        </w:tc>
        <w:tc>
          <w:tcPr>
            <w:tcW w:w="1005"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1295"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7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不配合负有扬尘污染防治监督管理职责的部门进入现场检查，或不提供相关资料的</w:t>
            </w:r>
          </w:p>
        </w:tc>
        <w:tc>
          <w:tcPr>
            <w:tcW w:w="1911"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处8万元以上14万元以下罚款</w:t>
            </w:r>
          </w:p>
        </w:tc>
        <w:tc>
          <w:tcPr>
            <w:tcW w:w="1005"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2566"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2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jc w:val="center"/>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不允许负有扬尘污染防治监督管理职责的部门进入现场检查，或</w:t>
            </w:r>
            <w:r>
              <w:rPr>
                <w:rFonts w:hint="eastAsia" w:ascii="仿宋_GB2312" w:hAnsi="微软雅黑" w:eastAsia="仿宋_GB2312" w:cs="宋体"/>
                <w:kern w:val="0"/>
                <w:sz w:val="24"/>
                <w:szCs w:val="24"/>
                <w:highlight w:val="none"/>
              </w:rPr>
              <w:t>三个月</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内发生两次以上违反本条行为，或在检查中弄虚作假的</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处14万元以上20万元以下罚款</w:t>
            </w:r>
          </w:p>
        </w:tc>
        <w:tc>
          <w:tcPr>
            <w:tcW w:w="1005" w:type="dxa"/>
            <w:tcBorders>
              <w:top w:val="single" w:color="auto" w:sz="4" w:space="0"/>
              <w:left w:val="nil"/>
              <w:bottom w:val="single" w:color="auto" w:sz="4" w:space="0"/>
              <w:right w:val="single" w:color="auto" w:sz="4" w:space="0"/>
            </w:tcBorders>
            <w:vAlign w:val="center"/>
          </w:tcPr>
          <w:p>
            <w:pPr>
              <w:widowControl/>
              <w:spacing w:line="0" w:lineRule="atLeast"/>
              <w:contextualSpacing/>
              <w:rPr>
                <w:rFonts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bl>
    <w:p>
      <w:pPr>
        <w:pStyle w:val="2"/>
        <w:rPr>
          <w:highlight w:val="none"/>
        </w:rPr>
      </w:pPr>
    </w:p>
    <w:p>
      <w:pPr>
        <w:rPr>
          <w:highlight w:val="none"/>
        </w:rPr>
      </w:pPr>
    </w:p>
    <w:p>
      <w:pPr>
        <w:ind w:left="1185" w:leftChars="450" w:hanging="240" w:hangingChars="100"/>
        <w:jc w:val="left"/>
        <w:rPr>
          <w:rFonts w:ascii="仿宋_GB2312" w:hAnsi="微软雅黑" w:eastAsia="仿宋_GB2312" w:cs="宋体"/>
          <w:color w:val="000000"/>
          <w:kern w:val="0"/>
          <w:sz w:val="24"/>
          <w:szCs w:val="32"/>
          <w:highlight w:val="none"/>
        </w:rPr>
      </w:pPr>
      <w:r>
        <w:rPr>
          <w:rFonts w:hint="eastAsia" w:ascii="仿宋_GB2312" w:hAnsi="微软雅黑" w:eastAsia="仿宋_GB2312" w:cs="宋体"/>
          <w:color w:val="000000"/>
          <w:kern w:val="0"/>
          <w:sz w:val="24"/>
          <w:szCs w:val="32"/>
          <w:highlight w:val="none"/>
        </w:rPr>
        <w:t>注：1.《裁量基准》根据违法行为的具体情节，将裁量档次分为“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r>
        <w:rPr>
          <w:rFonts w:hint="eastAsia" w:ascii="仿宋_GB2312" w:hAnsi="微软雅黑" w:eastAsia="仿宋_GB2312" w:cs="宋体"/>
          <w:color w:val="000000"/>
          <w:kern w:val="0"/>
          <w:sz w:val="24"/>
          <w:szCs w:val="32"/>
          <w:highlight w:val="none"/>
        </w:rPr>
        <w:t>”、“一般”和“严重”三个档次，并细化行为人的违法情节和后果作出相应的处罚基准。</w:t>
      </w:r>
    </w:p>
    <w:p>
      <w:pPr>
        <w:ind w:left="1275" w:leftChars="607" w:firstLine="120" w:firstLineChars="50"/>
        <w:jc w:val="left"/>
        <w:rPr>
          <w:rFonts w:ascii="仿宋_GB2312" w:hAnsi="微软雅黑" w:eastAsia="仿宋_GB2312" w:cs="宋体"/>
          <w:color w:val="000000"/>
          <w:kern w:val="0"/>
          <w:sz w:val="24"/>
          <w:szCs w:val="32"/>
          <w:highlight w:val="none"/>
        </w:rPr>
      </w:pPr>
      <w:r>
        <w:rPr>
          <w:rFonts w:hint="eastAsia" w:ascii="仿宋_GB2312" w:hAnsi="微软雅黑" w:eastAsia="仿宋_GB2312" w:cs="宋体"/>
          <w:color w:val="000000"/>
          <w:kern w:val="0"/>
          <w:sz w:val="24"/>
          <w:szCs w:val="32"/>
          <w:highlight w:val="none"/>
        </w:rPr>
        <w:t>2.违法情节和后果中“X年（月）内发生X次以上违反本条行为的”指行为人在执法人员发现有违法行为当天的近X年（月）内有发生违反同一条规定行为并受到行政处罚的情形，受到行政处罚以行政处罚决定书生效日期为准。</w:t>
      </w:r>
    </w:p>
    <w:p>
      <w:pPr>
        <w:rPr>
          <w:rFonts w:ascii="仿宋_GB2312" w:hAnsi="微软雅黑" w:eastAsia="仿宋_GB2312" w:cs="宋体"/>
          <w:color w:val="000000"/>
          <w:kern w:val="0"/>
          <w:sz w:val="24"/>
          <w:szCs w:val="32"/>
          <w:highlight w:val="none"/>
        </w:rPr>
      </w:pPr>
      <w:r>
        <w:rPr>
          <w:rFonts w:hint="eastAsia"/>
          <w:highlight w:val="none"/>
        </w:rPr>
        <w:t xml:space="preserve">              3.</w:t>
      </w:r>
      <w:r>
        <w:rPr>
          <w:rFonts w:hint="eastAsia" w:ascii="仿宋_GB2312" w:hAnsi="微软雅黑" w:eastAsia="仿宋_GB2312" w:cs="宋体"/>
          <w:color w:val="000000"/>
          <w:kern w:val="0"/>
          <w:sz w:val="24"/>
          <w:szCs w:val="32"/>
          <w:highlight w:val="none"/>
        </w:rPr>
        <w:t>“裸露面积”、“施工作业面积”均指水平投影面积。面积以执法人员确定的为准。</w:t>
      </w:r>
    </w:p>
    <w:p>
      <w:pPr>
        <w:ind w:left="1134" w:leftChars="540" w:firstLine="315" w:firstLineChars="150"/>
        <w:rPr>
          <w:highlight w:val="none"/>
        </w:rPr>
      </w:pPr>
      <w:r>
        <w:rPr>
          <w:rFonts w:hint="eastAsia"/>
          <w:highlight w:val="none"/>
        </w:rPr>
        <w:t>4.</w:t>
      </w:r>
      <w:r>
        <w:rPr>
          <w:rFonts w:hint="eastAsia" w:ascii="仿宋_GB2312" w:hAnsi="微软雅黑" w:eastAsia="仿宋_GB2312" w:cs="宋体"/>
          <w:color w:val="000000"/>
          <w:kern w:val="0"/>
          <w:sz w:val="24"/>
          <w:szCs w:val="32"/>
          <w:highlight w:val="none"/>
        </w:rPr>
        <w:t>表格中“违法情节和后果”一栏的“以上”包括本数，“以下、以内、内”不包括本数。“处罚自由裁量基准”一栏的“以上”“以下”含义均同对应法律原文含义。</w:t>
      </w:r>
    </w:p>
    <w:p>
      <w:pPr>
        <w:jc w:val="left"/>
        <w:rPr>
          <w:rFonts w:ascii="宋体" w:hAnsi="宋体" w:cs="宋体"/>
          <w:b/>
          <w:bCs/>
          <w:kern w:val="0"/>
          <w:sz w:val="36"/>
          <w:szCs w:val="40"/>
          <w:highlight w:val="none"/>
        </w:rPr>
      </w:pPr>
    </w:p>
    <w:p>
      <w:pPr>
        <w:jc w:val="left"/>
        <w:rPr>
          <w:rFonts w:hint="eastAsia" w:ascii="仿宋_GB2312" w:hAnsi="微软雅黑" w:eastAsia="仿宋_GB2312" w:cs="宋体"/>
          <w:color w:val="000000"/>
          <w:kern w:val="0"/>
          <w:sz w:val="24"/>
          <w:szCs w:val="32"/>
          <w:highlight w:val="none"/>
        </w:rPr>
      </w:pPr>
    </w:p>
    <w:sectPr>
      <w:headerReference r:id="rId3" w:type="default"/>
      <w:footerReference r:id="rId4" w:type="default"/>
      <w:pgSz w:w="16838" w:h="11906" w:orient="landscape"/>
      <w:pgMar w:top="1135" w:right="834" w:bottom="709" w:left="1104" w:header="288"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21590507"/>
                          </w:sdtPr>
                          <w:sdtContent>
                            <w:p>
                              <w:pPr>
                                <w:pStyle w:val="4"/>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sdt>
                    <w:sdtPr>
                      <w:id w:val="-1221590507"/>
                    </w:sdtPr>
                    <w:sdtContent>
                      <w:p>
                        <w:pPr>
                          <w:pStyle w:val="4"/>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sdtContent>
                  </w:sdt>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right"/>
      <w:rPr>
        <w:rFonts w:asciiTheme="minorEastAsia" w:hAnsiTheme="minorEastAsia"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12"/>
    <w:rsid w:val="000028EC"/>
    <w:rsid w:val="0000339C"/>
    <w:rsid w:val="00010838"/>
    <w:rsid w:val="000124EE"/>
    <w:rsid w:val="00012C09"/>
    <w:rsid w:val="00013736"/>
    <w:rsid w:val="00021875"/>
    <w:rsid w:val="00023334"/>
    <w:rsid w:val="000246A8"/>
    <w:rsid w:val="000361BF"/>
    <w:rsid w:val="00037FBC"/>
    <w:rsid w:val="0004302B"/>
    <w:rsid w:val="000449C1"/>
    <w:rsid w:val="00061C36"/>
    <w:rsid w:val="0006559A"/>
    <w:rsid w:val="00083134"/>
    <w:rsid w:val="00083DC8"/>
    <w:rsid w:val="000925C2"/>
    <w:rsid w:val="00095788"/>
    <w:rsid w:val="000B01B5"/>
    <w:rsid w:val="000B4B99"/>
    <w:rsid w:val="000E0084"/>
    <w:rsid w:val="000E00CA"/>
    <w:rsid w:val="000E7135"/>
    <w:rsid w:val="000F00D7"/>
    <w:rsid w:val="000F354C"/>
    <w:rsid w:val="000F4004"/>
    <w:rsid w:val="001000B6"/>
    <w:rsid w:val="001026B2"/>
    <w:rsid w:val="00115E64"/>
    <w:rsid w:val="001178EE"/>
    <w:rsid w:val="001201F8"/>
    <w:rsid w:val="00136C92"/>
    <w:rsid w:val="00144292"/>
    <w:rsid w:val="00146B8D"/>
    <w:rsid w:val="001474E7"/>
    <w:rsid w:val="00153D8C"/>
    <w:rsid w:val="00157BC2"/>
    <w:rsid w:val="00157F8E"/>
    <w:rsid w:val="00164260"/>
    <w:rsid w:val="00164F40"/>
    <w:rsid w:val="00165E99"/>
    <w:rsid w:val="001673FB"/>
    <w:rsid w:val="00175F29"/>
    <w:rsid w:val="0017664F"/>
    <w:rsid w:val="001778E1"/>
    <w:rsid w:val="00183495"/>
    <w:rsid w:val="001911E5"/>
    <w:rsid w:val="00195C9B"/>
    <w:rsid w:val="001A2816"/>
    <w:rsid w:val="001B0054"/>
    <w:rsid w:val="001B0F44"/>
    <w:rsid w:val="001B1D0F"/>
    <w:rsid w:val="001B44F1"/>
    <w:rsid w:val="001B5D87"/>
    <w:rsid w:val="001C1305"/>
    <w:rsid w:val="001C5FEC"/>
    <w:rsid w:val="001C6E52"/>
    <w:rsid w:val="001D1A7D"/>
    <w:rsid w:val="001D6450"/>
    <w:rsid w:val="001D6C99"/>
    <w:rsid w:val="001E5029"/>
    <w:rsid w:val="001E621C"/>
    <w:rsid w:val="001F40E0"/>
    <w:rsid w:val="001F4EC9"/>
    <w:rsid w:val="0020180C"/>
    <w:rsid w:val="002035C0"/>
    <w:rsid w:val="00204911"/>
    <w:rsid w:val="002127F8"/>
    <w:rsid w:val="002146C5"/>
    <w:rsid w:val="00215AAE"/>
    <w:rsid w:val="002164C2"/>
    <w:rsid w:val="002222BD"/>
    <w:rsid w:val="00223780"/>
    <w:rsid w:val="00225F9B"/>
    <w:rsid w:val="00226406"/>
    <w:rsid w:val="00230277"/>
    <w:rsid w:val="00236DDE"/>
    <w:rsid w:val="002378A6"/>
    <w:rsid w:val="00250420"/>
    <w:rsid w:val="0025465F"/>
    <w:rsid w:val="0025524B"/>
    <w:rsid w:val="00275ED3"/>
    <w:rsid w:val="002764A0"/>
    <w:rsid w:val="00281817"/>
    <w:rsid w:val="00282E7D"/>
    <w:rsid w:val="00285E4B"/>
    <w:rsid w:val="00287F3D"/>
    <w:rsid w:val="00294199"/>
    <w:rsid w:val="00297B31"/>
    <w:rsid w:val="002A01B6"/>
    <w:rsid w:val="002A26A4"/>
    <w:rsid w:val="002B61ED"/>
    <w:rsid w:val="002C0BF5"/>
    <w:rsid w:val="002C12CB"/>
    <w:rsid w:val="002E4712"/>
    <w:rsid w:val="002F2E19"/>
    <w:rsid w:val="002F2EF5"/>
    <w:rsid w:val="0030070E"/>
    <w:rsid w:val="00301B61"/>
    <w:rsid w:val="0030310F"/>
    <w:rsid w:val="00304FAC"/>
    <w:rsid w:val="00305D74"/>
    <w:rsid w:val="003113EF"/>
    <w:rsid w:val="0032348B"/>
    <w:rsid w:val="003301F8"/>
    <w:rsid w:val="003325F8"/>
    <w:rsid w:val="003413AA"/>
    <w:rsid w:val="0034509E"/>
    <w:rsid w:val="00355B67"/>
    <w:rsid w:val="00356711"/>
    <w:rsid w:val="00361582"/>
    <w:rsid w:val="00373F20"/>
    <w:rsid w:val="00385497"/>
    <w:rsid w:val="003A0850"/>
    <w:rsid w:val="003A30E6"/>
    <w:rsid w:val="003A73F2"/>
    <w:rsid w:val="003B1011"/>
    <w:rsid w:val="003B3F61"/>
    <w:rsid w:val="003B7375"/>
    <w:rsid w:val="003B7B02"/>
    <w:rsid w:val="003C2293"/>
    <w:rsid w:val="003D160E"/>
    <w:rsid w:val="003D3AE0"/>
    <w:rsid w:val="003D56D1"/>
    <w:rsid w:val="003D5F6B"/>
    <w:rsid w:val="003D6836"/>
    <w:rsid w:val="003E797D"/>
    <w:rsid w:val="003F1504"/>
    <w:rsid w:val="003F2051"/>
    <w:rsid w:val="004013C9"/>
    <w:rsid w:val="00402563"/>
    <w:rsid w:val="004060F7"/>
    <w:rsid w:val="00412C75"/>
    <w:rsid w:val="00412F92"/>
    <w:rsid w:val="00417566"/>
    <w:rsid w:val="00432AD2"/>
    <w:rsid w:val="004362EA"/>
    <w:rsid w:val="00436CBE"/>
    <w:rsid w:val="004378A9"/>
    <w:rsid w:val="00440723"/>
    <w:rsid w:val="004411EF"/>
    <w:rsid w:val="004432D9"/>
    <w:rsid w:val="00444CD5"/>
    <w:rsid w:val="00452822"/>
    <w:rsid w:val="004540E3"/>
    <w:rsid w:val="004626E8"/>
    <w:rsid w:val="004631BD"/>
    <w:rsid w:val="00467969"/>
    <w:rsid w:val="00470EC0"/>
    <w:rsid w:val="00476CD0"/>
    <w:rsid w:val="00481952"/>
    <w:rsid w:val="00481BE5"/>
    <w:rsid w:val="0048334C"/>
    <w:rsid w:val="0048382A"/>
    <w:rsid w:val="00490A9E"/>
    <w:rsid w:val="004919FE"/>
    <w:rsid w:val="00494DD4"/>
    <w:rsid w:val="00495C86"/>
    <w:rsid w:val="004966CE"/>
    <w:rsid w:val="004B3219"/>
    <w:rsid w:val="004B4F58"/>
    <w:rsid w:val="004C3B61"/>
    <w:rsid w:val="004D04A5"/>
    <w:rsid w:val="004D3E39"/>
    <w:rsid w:val="004E28C7"/>
    <w:rsid w:val="004E3D8D"/>
    <w:rsid w:val="004E4460"/>
    <w:rsid w:val="004E70EA"/>
    <w:rsid w:val="004F13B8"/>
    <w:rsid w:val="004F4287"/>
    <w:rsid w:val="004F5EAA"/>
    <w:rsid w:val="00510B7D"/>
    <w:rsid w:val="00510BB0"/>
    <w:rsid w:val="005129A5"/>
    <w:rsid w:val="00512FB7"/>
    <w:rsid w:val="00517223"/>
    <w:rsid w:val="0052232A"/>
    <w:rsid w:val="00523D2B"/>
    <w:rsid w:val="0052549C"/>
    <w:rsid w:val="00525612"/>
    <w:rsid w:val="0053260D"/>
    <w:rsid w:val="0053356C"/>
    <w:rsid w:val="005379D6"/>
    <w:rsid w:val="00541F63"/>
    <w:rsid w:val="00545D30"/>
    <w:rsid w:val="00566882"/>
    <w:rsid w:val="0056734E"/>
    <w:rsid w:val="0056794A"/>
    <w:rsid w:val="00573876"/>
    <w:rsid w:val="00573F16"/>
    <w:rsid w:val="00587A5D"/>
    <w:rsid w:val="005904BE"/>
    <w:rsid w:val="005978B7"/>
    <w:rsid w:val="005A1477"/>
    <w:rsid w:val="005B1387"/>
    <w:rsid w:val="005B2022"/>
    <w:rsid w:val="005B6741"/>
    <w:rsid w:val="005C4692"/>
    <w:rsid w:val="005C59A0"/>
    <w:rsid w:val="005C6305"/>
    <w:rsid w:val="005D10F8"/>
    <w:rsid w:val="005D3004"/>
    <w:rsid w:val="005D3853"/>
    <w:rsid w:val="005D5984"/>
    <w:rsid w:val="005E2D87"/>
    <w:rsid w:val="005E36F0"/>
    <w:rsid w:val="005E70E8"/>
    <w:rsid w:val="005F23C4"/>
    <w:rsid w:val="005F2591"/>
    <w:rsid w:val="005F4356"/>
    <w:rsid w:val="005F6B33"/>
    <w:rsid w:val="0060213C"/>
    <w:rsid w:val="00605E67"/>
    <w:rsid w:val="006104BB"/>
    <w:rsid w:val="00613E09"/>
    <w:rsid w:val="00616CAB"/>
    <w:rsid w:val="00620918"/>
    <w:rsid w:val="006238C1"/>
    <w:rsid w:val="00627C37"/>
    <w:rsid w:val="00633FED"/>
    <w:rsid w:val="0064148C"/>
    <w:rsid w:val="00641617"/>
    <w:rsid w:val="006447E2"/>
    <w:rsid w:val="006465C8"/>
    <w:rsid w:val="00646A68"/>
    <w:rsid w:val="00646CAD"/>
    <w:rsid w:val="00647D3C"/>
    <w:rsid w:val="0065512D"/>
    <w:rsid w:val="00655523"/>
    <w:rsid w:val="00657111"/>
    <w:rsid w:val="00657653"/>
    <w:rsid w:val="00657B0A"/>
    <w:rsid w:val="00661171"/>
    <w:rsid w:val="00662976"/>
    <w:rsid w:val="00666AB5"/>
    <w:rsid w:val="0067142A"/>
    <w:rsid w:val="00676B47"/>
    <w:rsid w:val="00680379"/>
    <w:rsid w:val="006807E6"/>
    <w:rsid w:val="00680992"/>
    <w:rsid w:val="00680BD5"/>
    <w:rsid w:val="006815F9"/>
    <w:rsid w:val="00686E28"/>
    <w:rsid w:val="0068791C"/>
    <w:rsid w:val="006919DF"/>
    <w:rsid w:val="006948B2"/>
    <w:rsid w:val="006951C8"/>
    <w:rsid w:val="00697317"/>
    <w:rsid w:val="006A1DFD"/>
    <w:rsid w:val="006B29B5"/>
    <w:rsid w:val="006B32CD"/>
    <w:rsid w:val="006C2165"/>
    <w:rsid w:val="006C3FF3"/>
    <w:rsid w:val="006D48DF"/>
    <w:rsid w:val="006D5B29"/>
    <w:rsid w:val="006D7619"/>
    <w:rsid w:val="006E31BB"/>
    <w:rsid w:val="006E5819"/>
    <w:rsid w:val="006F2823"/>
    <w:rsid w:val="00700B36"/>
    <w:rsid w:val="0071129E"/>
    <w:rsid w:val="00711594"/>
    <w:rsid w:val="00715ACE"/>
    <w:rsid w:val="007167EC"/>
    <w:rsid w:val="00716966"/>
    <w:rsid w:val="0073745D"/>
    <w:rsid w:val="0074108A"/>
    <w:rsid w:val="0075078B"/>
    <w:rsid w:val="0075608A"/>
    <w:rsid w:val="0075619C"/>
    <w:rsid w:val="00765215"/>
    <w:rsid w:val="0077354B"/>
    <w:rsid w:val="00774079"/>
    <w:rsid w:val="007750CF"/>
    <w:rsid w:val="0078717F"/>
    <w:rsid w:val="00792046"/>
    <w:rsid w:val="00794077"/>
    <w:rsid w:val="00796B88"/>
    <w:rsid w:val="00796C99"/>
    <w:rsid w:val="007A5F9B"/>
    <w:rsid w:val="007A7D05"/>
    <w:rsid w:val="007B3AC8"/>
    <w:rsid w:val="007B7356"/>
    <w:rsid w:val="007B7A04"/>
    <w:rsid w:val="007C7CC4"/>
    <w:rsid w:val="007D0764"/>
    <w:rsid w:val="007D24C8"/>
    <w:rsid w:val="007E024C"/>
    <w:rsid w:val="007E1365"/>
    <w:rsid w:val="007E1A81"/>
    <w:rsid w:val="007E5523"/>
    <w:rsid w:val="007E6CA8"/>
    <w:rsid w:val="00812336"/>
    <w:rsid w:val="00815345"/>
    <w:rsid w:val="00817617"/>
    <w:rsid w:val="00817F73"/>
    <w:rsid w:val="008225C4"/>
    <w:rsid w:val="00822CC0"/>
    <w:rsid w:val="00824471"/>
    <w:rsid w:val="00825532"/>
    <w:rsid w:val="0082667D"/>
    <w:rsid w:val="0082671C"/>
    <w:rsid w:val="00827D78"/>
    <w:rsid w:val="00831EFB"/>
    <w:rsid w:val="0083299A"/>
    <w:rsid w:val="00853AD2"/>
    <w:rsid w:val="00854441"/>
    <w:rsid w:val="008553DA"/>
    <w:rsid w:val="00857DE0"/>
    <w:rsid w:val="0086566F"/>
    <w:rsid w:val="00865BCB"/>
    <w:rsid w:val="008674E3"/>
    <w:rsid w:val="00871BFF"/>
    <w:rsid w:val="008765A8"/>
    <w:rsid w:val="00876A3A"/>
    <w:rsid w:val="0087729B"/>
    <w:rsid w:val="008924DA"/>
    <w:rsid w:val="00892670"/>
    <w:rsid w:val="008A3961"/>
    <w:rsid w:val="008A480E"/>
    <w:rsid w:val="008A48EB"/>
    <w:rsid w:val="008B454B"/>
    <w:rsid w:val="008B6F5E"/>
    <w:rsid w:val="008B7889"/>
    <w:rsid w:val="008C7D6A"/>
    <w:rsid w:val="008D3611"/>
    <w:rsid w:val="008D4DAD"/>
    <w:rsid w:val="008E07C3"/>
    <w:rsid w:val="008E2462"/>
    <w:rsid w:val="008E6829"/>
    <w:rsid w:val="008E7EE1"/>
    <w:rsid w:val="008F1B29"/>
    <w:rsid w:val="00900C53"/>
    <w:rsid w:val="00902214"/>
    <w:rsid w:val="00903695"/>
    <w:rsid w:val="00903A29"/>
    <w:rsid w:val="009047CF"/>
    <w:rsid w:val="00905426"/>
    <w:rsid w:val="00913084"/>
    <w:rsid w:val="00913E15"/>
    <w:rsid w:val="00913F1C"/>
    <w:rsid w:val="009171AE"/>
    <w:rsid w:val="0092236C"/>
    <w:rsid w:val="00922C06"/>
    <w:rsid w:val="00925D64"/>
    <w:rsid w:val="00937F7E"/>
    <w:rsid w:val="009524B9"/>
    <w:rsid w:val="00954C19"/>
    <w:rsid w:val="009662B9"/>
    <w:rsid w:val="0097652B"/>
    <w:rsid w:val="00980E9F"/>
    <w:rsid w:val="009812CA"/>
    <w:rsid w:val="00984AB0"/>
    <w:rsid w:val="0098665B"/>
    <w:rsid w:val="00990844"/>
    <w:rsid w:val="00994BD8"/>
    <w:rsid w:val="009B03D5"/>
    <w:rsid w:val="009B3523"/>
    <w:rsid w:val="009B3D1F"/>
    <w:rsid w:val="009C51F9"/>
    <w:rsid w:val="009D0CE6"/>
    <w:rsid w:val="009D215D"/>
    <w:rsid w:val="009D2BB1"/>
    <w:rsid w:val="009E1266"/>
    <w:rsid w:val="009E1849"/>
    <w:rsid w:val="009E5E22"/>
    <w:rsid w:val="009E6DAB"/>
    <w:rsid w:val="009F1BF8"/>
    <w:rsid w:val="009F4B01"/>
    <w:rsid w:val="009F72B9"/>
    <w:rsid w:val="00A006E4"/>
    <w:rsid w:val="00A02439"/>
    <w:rsid w:val="00A06CE3"/>
    <w:rsid w:val="00A06E0B"/>
    <w:rsid w:val="00A0738C"/>
    <w:rsid w:val="00A10FE5"/>
    <w:rsid w:val="00A13846"/>
    <w:rsid w:val="00A14ADE"/>
    <w:rsid w:val="00A160A7"/>
    <w:rsid w:val="00A1785E"/>
    <w:rsid w:val="00A25BD7"/>
    <w:rsid w:val="00A278B7"/>
    <w:rsid w:val="00A30475"/>
    <w:rsid w:val="00A34595"/>
    <w:rsid w:val="00A35F1B"/>
    <w:rsid w:val="00A4176B"/>
    <w:rsid w:val="00A57895"/>
    <w:rsid w:val="00A61215"/>
    <w:rsid w:val="00A63B44"/>
    <w:rsid w:val="00A74F6C"/>
    <w:rsid w:val="00A76623"/>
    <w:rsid w:val="00A77853"/>
    <w:rsid w:val="00A81356"/>
    <w:rsid w:val="00A8342E"/>
    <w:rsid w:val="00A86123"/>
    <w:rsid w:val="00A903EE"/>
    <w:rsid w:val="00A906D6"/>
    <w:rsid w:val="00A9151F"/>
    <w:rsid w:val="00A9565A"/>
    <w:rsid w:val="00AA68F1"/>
    <w:rsid w:val="00AA7FDA"/>
    <w:rsid w:val="00AB5509"/>
    <w:rsid w:val="00AC075A"/>
    <w:rsid w:val="00AC22BB"/>
    <w:rsid w:val="00AC3C75"/>
    <w:rsid w:val="00AE277E"/>
    <w:rsid w:val="00AE35ED"/>
    <w:rsid w:val="00AE624C"/>
    <w:rsid w:val="00AE7FCE"/>
    <w:rsid w:val="00B07B53"/>
    <w:rsid w:val="00B1086E"/>
    <w:rsid w:val="00B12948"/>
    <w:rsid w:val="00B135D6"/>
    <w:rsid w:val="00B20A79"/>
    <w:rsid w:val="00B3214D"/>
    <w:rsid w:val="00B33292"/>
    <w:rsid w:val="00B3619A"/>
    <w:rsid w:val="00B40311"/>
    <w:rsid w:val="00B44169"/>
    <w:rsid w:val="00B4440C"/>
    <w:rsid w:val="00B44D66"/>
    <w:rsid w:val="00B52AFE"/>
    <w:rsid w:val="00B54B9F"/>
    <w:rsid w:val="00B65C6F"/>
    <w:rsid w:val="00B67215"/>
    <w:rsid w:val="00B672A2"/>
    <w:rsid w:val="00B72330"/>
    <w:rsid w:val="00B76C96"/>
    <w:rsid w:val="00B770F8"/>
    <w:rsid w:val="00B80375"/>
    <w:rsid w:val="00B810B5"/>
    <w:rsid w:val="00B847C4"/>
    <w:rsid w:val="00B9589D"/>
    <w:rsid w:val="00B97062"/>
    <w:rsid w:val="00BA035C"/>
    <w:rsid w:val="00BA5A9A"/>
    <w:rsid w:val="00BB1C0A"/>
    <w:rsid w:val="00BB24CF"/>
    <w:rsid w:val="00BB28A9"/>
    <w:rsid w:val="00BB3646"/>
    <w:rsid w:val="00BB4F28"/>
    <w:rsid w:val="00BB5DEC"/>
    <w:rsid w:val="00BC346F"/>
    <w:rsid w:val="00BD1178"/>
    <w:rsid w:val="00BE46A2"/>
    <w:rsid w:val="00BE60E1"/>
    <w:rsid w:val="00BF1E31"/>
    <w:rsid w:val="00BF32CD"/>
    <w:rsid w:val="00BF36CE"/>
    <w:rsid w:val="00BF457B"/>
    <w:rsid w:val="00BF61F3"/>
    <w:rsid w:val="00C03EF4"/>
    <w:rsid w:val="00C04420"/>
    <w:rsid w:val="00C05603"/>
    <w:rsid w:val="00C059CC"/>
    <w:rsid w:val="00C06FDB"/>
    <w:rsid w:val="00C07FA9"/>
    <w:rsid w:val="00C12216"/>
    <w:rsid w:val="00C12B6C"/>
    <w:rsid w:val="00C12EE1"/>
    <w:rsid w:val="00C25594"/>
    <w:rsid w:val="00C37271"/>
    <w:rsid w:val="00C419B4"/>
    <w:rsid w:val="00C420A3"/>
    <w:rsid w:val="00C46918"/>
    <w:rsid w:val="00C5052B"/>
    <w:rsid w:val="00C51C96"/>
    <w:rsid w:val="00C5554E"/>
    <w:rsid w:val="00C62257"/>
    <w:rsid w:val="00C83155"/>
    <w:rsid w:val="00C85072"/>
    <w:rsid w:val="00C85D95"/>
    <w:rsid w:val="00C937A3"/>
    <w:rsid w:val="00C97C27"/>
    <w:rsid w:val="00CA10C6"/>
    <w:rsid w:val="00CA1D73"/>
    <w:rsid w:val="00CA5B6E"/>
    <w:rsid w:val="00CB6C3D"/>
    <w:rsid w:val="00CC1B37"/>
    <w:rsid w:val="00CC2E44"/>
    <w:rsid w:val="00CC3CE0"/>
    <w:rsid w:val="00CC5320"/>
    <w:rsid w:val="00CF05A6"/>
    <w:rsid w:val="00D000F0"/>
    <w:rsid w:val="00D013D1"/>
    <w:rsid w:val="00D07CA5"/>
    <w:rsid w:val="00D121CF"/>
    <w:rsid w:val="00D12477"/>
    <w:rsid w:val="00D13BE9"/>
    <w:rsid w:val="00D14AD0"/>
    <w:rsid w:val="00D20372"/>
    <w:rsid w:val="00D2386C"/>
    <w:rsid w:val="00D23BE9"/>
    <w:rsid w:val="00D2591F"/>
    <w:rsid w:val="00D35E72"/>
    <w:rsid w:val="00D35EF3"/>
    <w:rsid w:val="00D43342"/>
    <w:rsid w:val="00D51DFE"/>
    <w:rsid w:val="00D5233A"/>
    <w:rsid w:val="00D53764"/>
    <w:rsid w:val="00D537AE"/>
    <w:rsid w:val="00D54B27"/>
    <w:rsid w:val="00D57558"/>
    <w:rsid w:val="00D60968"/>
    <w:rsid w:val="00D7105F"/>
    <w:rsid w:val="00D726E9"/>
    <w:rsid w:val="00D768F8"/>
    <w:rsid w:val="00D775AC"/>
    <w:rsid w:val="00D80E75"/>
    <w:rsid w:val="00D82D62"/>
    <w:rsid w:val="00D848D0"/>
    <w:rsid w:val="00D93DF8"/>
    <w:rsid w:val="00D978A2"/>
    <w:rsid w:val="00DA0D19"/>
    <w:rsid w:val="00DA2E0A"/>
    <w:rsid w:val="00DA551A"/>
    <w:rsid w:val="00DA7C73"/>
    <w:rsid w:val="00DB28F2"/>
    <w:rsid w:val="00DB7DC4"/>
    <w:rsid w:val="00DC6CD0"/>
    <w:rsid w:val="00DC7C40"/>
    <w:rsid w:val="00DD7836"/>
    <w:rsid w:val="00DE34B5"/>
    <w:rsid w:val="00DE4996"/>
    <w:rsid w:val="00DF7FD4"/>
    <w:rsid w:val="00E00056"/>
    <w:rsid w:val="00E01266"/>
    <w:rsid w:val="00E01F9A"/>
    <w:rsid w:val="00E11B41"/>
    <w:rsid w:val="00E11FB8"/>
    <w:rsid w:val="00E23C60"/>
    <w:rsid w:val="00E24359"/>
    <w:rsid w:val="00E3227E"/>
    <w:rsid w:val="00E3274A"/>
    <w:rsid w:val="00E342FC"/>
    <w:rsid w:val="00E40210"/>
    <w:rsid w:val="00E46948"/>
    <w:rsid w:val="00E47F90"/>
    <w:rsid w:val="00E5292E"/>
    <w:rsid w:val="00E54A15"/>
    <w:rsid w:val="00E70374"/>
    <w:rsid w:val="00E70C47"/>
    <w:rsid w:val="00E74F6B"/>
    <w:rsid w:val="00E81C2D"/>
    <w:rsid w:val="00E84910"/>
    <w:rsid w:val="00E85B10"/>
    <w:rsid w:val="00E941F2"/>
    <w:rsid w:val="00E948CC"/>
    <w:rsid w:val="00E969B3"/>
    <w:rsid w:val="00EA116F"/>
    <w:rsid w:val="00EA5C8F"/>
    <w:rsid w:val="00EA626D"/>
    <w:rsid w:val="00EA6DE3"/>
    <w:rsid w:val="00EA74BA"/>
    <w:rsid w:val="00EB03A0"/>
    <w:rsid w:val="00EB5A1E"/>
    <w:rsid w:val="00EB70E5"/>
    <w:rsid w:val="00EB753A"/>
    <w:rsid w:val="00EC1B43"/>
    <w:rsid w:val="00ED7D1F"/>
    <w:rsid w:val="00EE38E7"/>
    <w:rsid w:val="00EE39BF"/>
    <w:rsid w:val="00EE4512"/>
    <w:rsid w:val="00EF2607"/>
    <w:rsid w:val="00EF28A5"/>
    <w:rsid w:val="00EF62E3"/>
    <w:rsid w:val="00F03AA2"/>
    <w:rsid w:val="00F1400C"/>
    <w:rsid w:val="00F2365C"/>
    <w:rsid w:val="00F26AA1"/>
    <w:rsid w:val="00F43139"/>
    <w:rsid w:val="00F44E67"/>
    <w:rsid w:val="00F452D3"/>
    <w:rsid w:val="00F46042"/>
    <w:rsid w:val="00F57B9F"/>
    <w:rsid w:val="00F57FC0"/>
    <w:rsid w:val="00F67059"/>
    <w:rsid w:val="00F7048E"/>
    <w:rsid w:val="00F75F7A"/>
    <w:rsid w:val="00F75FDD"/>
    <w:rsid w:val="00F82336"/>
    <w:rsid w:val="00F84E59"/>
    <w:rsid w:val="00F932E5"/>
    <w:rsid w:val="00FA05B6"/>
    <w:rsid w:val="00FA4BEB"/>
    <w:rsid w:val="00FA631C"/>
    <w:rsid w:val="00FA749C"/>
    <w:rsid w:val="00FA7825"/>
    <w:rsid w:val="00FB2516"/>
    <w:rsid w:val="00FB30C0"/>
    <w:rsid w:val="00FB6E03"/>
    <w:rsid w:val="00FC3867"/>
    <w:rsid w:val="00FC5226"/>
    <w:rsid w:val="00FE418D"/>
    <w:rsid w:val="00FE50A5"/>
    <w:rsid w:val="00FE74D0"/>
    <w:rsid w:val="00FE75A5"/>
    <w:rsid w:val="00FF195E"/>
    <w:rsid w:val="00FF1F44"/>
    <w:rsid w:val="00FF6FCB"/>
    <w:rsid w:val="00FF7B87"/>
    <w:rsid w:val="093F444A"/>
    <w:rsid w:val="10EF98BD"/>
    <w:rsid w:val="14EED0E4"/>
    <w:rsid w:val="168B783E"/>
    <w:rsid w:val="17EB0F8C"/>
    <w:rsid w:val="1F2FAEF6"/>
    <w:rsid w:val="1FDA974F"/>
    <w:rsid w:val="20E7A5B9"/>
    <w:rsid w:val="25FFD8B3"/>
    <w:rsid w:val="27DBD2D6"/>
    <w:rsid w:val="2EDEAA84"/>
    <w:rsid w:val="2F089265"/>
    <w:rsid w:val="2F7FDD1B"/>
    <w:rsid w:val="2FF3BE2C"/>
    <w:rsid w:val="36FF0D4F"/>
    <w:rsid w:val="377DEFE8"/>
    <w:rsid w:val="37FF7029"/>
    <w:rsid w:val="37FFC1A5"/>
    <w:rsid w:val="38AD5F14"/>
    <w:rsid w:val="3B9FB791"/>
    <w:rsid w:val="3C57CA58"/>
    <w:rsid w:val="3C7AF216"/>
    <w:rsid w:val="3C7F96A3"/>
    <w:rsid w:val="3CDF557D"/>
    <w:rsid w:val="3DFF2DAE"/>
    <w:rsid w:val="3EAFD101"/>
    <w:rsid w:val="3EB28067"/>
    <w:rsid w:val="3EDD45E5"/>
    <w:rsid w:val="3EF53061"/>
    <w:rsid w:val="3EF9F0F9"/>
    <w:rsid w:val="3EFFAC7D"/>
    <w:rsid w:val="3F3DACA1"/>
    <w:rsid w:val="3FB79572"/>
    <w:rsid w:val="3FDD86C5"/>
    <w:rsid w:val="3FED6636"/>
    <w:rsid w:val="3FF71F1D"/>
    <w:rsid w:val="3FF7C007"/>
    <w:rsid w:val="3FFA3EFA"/>
    <w:rsid w:val="3FFD5EC5"/>
    <w:rsid w:val="3FFE2043"/>
    <w:rsid w:val="479F9B9C"/>
    <w:rsid w:val="4E3E4EF5"/>
    <w:rsid w:val="52D5F8BB"/>
    <w:rsid w:val="54FB8BF6"/>
    <w:rsid w:val="568D23C9"/>
    <w:rsid w:val="5777F9D2"/>
    <w:rsid w:val="57FFC774"/>
    <w:rsid w:val="59B7D7A5"/>
    <w:rsid w:val="5A8A5608"/>
    <w:rsid w:val="5AF71515"/>
    <w:rsid w:val="5BF78037"/>
    <w:rsid w:val="5BFF9A2A"/>
    <w:rsid w:val="5CBF5A7B"/>
    <w:rsid w:val="5CFFFFF2"/>
    <w:rsid w:val="5D7739C6"/>
    <w:rsid w:val="5DECBF9A"/>
    <w:rsid w:val="5DFF58D8"/>
    <w:rsid w:val="5E37D4ED"/>
    <w:rsid w:val="5EB41B35"/>
    <w:rsid w:val="5EE339FF"/>
    <w:rsid w:val="5F0FACB5"/>
    <w:rsid w:val="5FAFAB66"/>
    <w:rsid w:val="5FD83F5F"/>
    <w:rsid w:val="5FD9F35B"/>
    <w:rsid w:val="5FDB4C12"/>
    <w:rsid w:val="5FDD461F"/>
    <w:rsid w:val="5FE7F7F0"/>
    <w:rsid w:val="61B737E9"/>
    <w:rsid w:val="64BE72D5"/>
    <w:rsid w:val="65FED362"/>
    <w:rsid w:val="65FF2688"/>
    <w:rsid w:val="65FFCFFD"/>
    <w:rsid w:val="67EE012F"/>
    <w:rsid w:val="67F394C4"/>
    <w:rsid w:val="67FD1A25"/>
    <w:rsid w:val="67FDA533"/>
    <w:rsid w:val="67FF35AF"/>
    <w:rsid w:val="6A8F6C27"/>
    <w:rsid w:val="6ABF8A32"/>
    <w:rsid w:val="6AEF94E5"/>
    <w:rsid w:val="6B8F93E5"/>
    <w:rsid w:val="6BBD2E6C"/>
    <w:rsid w:val="6EEC85A1"/>
    <w:rsid w:val="6EEF35E4"/>
    <w:rsid w:val="6F6FEAE7"/>
    <w:rsid w:val="6FDF104C"/>
    <w:rsid w:val="6FDFB972"/>
    <w:rsid w:val="6FF247C9"/>
    <w:rsid w:val="6FFFF9EC"/>
    <w:rsid w:val="72114121"/>
    <w:rsid w:val="72BE33C1"/>
    <w:rsid w:val="73FF8996"/>
    <w:rsid w:val="74A3DE28"/>
    <w:rsid w:val="74BF86D2"/>
    <w:rsid w:val="75FE9215"/>
    <w:rsid w:val="76EFD44D"/>
    <w:rsid w:val="76FD793E"/>
    <w:rsid w:val="77BF9CDA"/>
    <w:rsid w:val="77D33655"/>
    <w:rsid w:val="77DD47AB"/>
    <w:rsid w:val="77F79C6E"/>
    <w:rsid w:val="77FDA571"/>
    <w:rsid w:val="79A7709D"/>
    <w:rsid w:val="79CF81FB"/>
    <w:rsid w:val="79D3CA81"/>
    <w:rsid w:val="7B4F0CBD"/>
    <w:rsid w:val="7B5DE134"/>
    <w:rsid w:val="7BBDDDE5"/>
    <w:rsid w:val="7BE4D4EC"/>
    <w:rsid w:val="7CFD147A"/>
    <w:rsid w:val="7D7C6B1F"/>
    <w:rsid w:val="7D7E0A30"/>
    <w:rsid w:val="7DF6B2ED"/>
    <w:rsid w:val="7DFA2FCD"/>
    <w:rsid w:val="7DFDCEDC"/>
    <w:rsid w:val="7DFEFE6D"/>
    <w:rsid w:val="7DFF1BC1"/>
    <w:rsid w:val="7E3F1C80"/>
    <w:rsid w:val="7EABA8AF"/>
    <w:rsid w:val="7EB35212"/>
    <w:rsid w:val="7EDF410E"/>
    <w:rsid w:val="7EEB5724"/>
    <w:rsid w:val="7EFA3C75"/>
    <w:rsid w:val="7F0FC94B"/>
    <w:rsid w:val="7F55AF55"/>
    <w:rsid w:val="7F651CBD"/>
    <w:rsid w:val="7F6D677E"/>
    <w:rsid w:val="7F766B10"/>
    <w:rsid w:val="7F77E828"/>
    <w:rsid w:val="7F7EA133"/>
    <w:rsid w:val="7F7F940F"/>
    <w:rsid w:val="7FAF8BAA"/>
    <w:rsid w:val="7FBF5BDA"/>
    <w:rsid w:val="7FDDEFAB"/>
    <w:rsid w:val="7FE7BA96"/>
    <w:rsid w:val="7FEF8AC9"/>
    <w:rsid w:val="7FFAB23A"/>
    <w:rsid w:val="7FFF8281"/>
    <w:rsid w:val="84C61DFA"/>
    <w:rsid w:val="87FC3340"/>
    <w:rsid w:val="8F986C93"/>
    <w:rsid w:val="8FEF80E7"/>
    <w:rsid w:val="934EB760"/>
    <w:rsid w:val="9DA6B925"/>
    <w:rsid w:val="9EFF66CE"/>
    <w:rsid w:val="A3FFCA45"/>
    <w:rsid w:val="A6DF3EF7"/>
    <w:rsid w:val="ABF20C17"/>
    <w:rsid w:val="AE967407"/>
    <w:rsid w:val="AF1ED852"/>
    <w:rsid w:val="AF76E557"/>
    <w:rsid w:val="B4FD2031"/>
    <w:rsid w:val="B59FD25A"/>
    <w:rsid w:val="B7EF7402"/>
    <w:rsid w:val="B9DB9837"/>
    <w:rsid w:val="BA9F22F3"/>
    <w:rsid w:val="BB5B4C20"/>
    <w:rsid w:val="BB8F7295"/>
    <w:rsid w:val="BBB599CF"/>
    <w:rsid w:val="BBBF11AD"/>
    <w:rsid w:val="BE9FD1B1"/>
    <w:rsid w:val="BEAE8CFA"/>
    <w:rsid w:val="BEB7067B"/>
    <w:rsid w:val="BEB9AC18"/>
    <w:rsid w:val="BEFF6C86"/>
    <w:rsid w:val="BF79EBBF"/>
    <w:rsid w:val="BF7FFBE0"/>
    <w:rsid w:val="BFBB79AD"/>
    <w:rsid w:val="BFEE6AE6"/>
    <w:rsid w:val="BFFABE96"/>
    <w:rsid w:val="BFFB971D"/>
    <w:rsid w:val="C7B70A0E"/>
    <w:rsid w:val="C7BFCC91"/>
    <w:rsid w:val="CDEFB874"/>
    <w:rsid w:val="CE9D2776"/>
    <w:rsid w:val="CEDF3166"/>
    <w:rsid w:val="D3BF3E50"/>
    <w:rsid w:val="D5EF1739"/>
    <w:rsid w:val="DB7FD62C"/>
    <w:rsid w:val="DBBD4DB6"/>
    <w:rsid w:val="DBBE17B7"/>
    <w:rsid w:val="DDF3CD20"/>
    <w:rsid w:val="DE7676A4"/>
    <w:rsid w:val="DEDF954E"/>
    <w:rsid w:val="DF3E26D7"/>
    <w:rsid w:val="DF675CFC"/>
    <w:rsid w:val="DFB5B5B4"/>
    <w:rsid w:val="DFB72FC4"/>
    <w:rsid w:val="DFFD2DA0"/>
    <w:rsid w:val="E27D29CD"/>
    <w:rsid w:val="E2DE6C00"/>
    <w:rsid w:val="E73FEA61"/>
    <w:rsid w:val="E7B3B643"/>
    <w:rsid w:val="E907E473"/>
    <w:rsid w:val="EAF6D907"/>
    <w:rsid w:val="EBDF6080"/>
    <w:rsid w:val="EBEFF3A0"/>
    <w:rsid w:val="EBF2DFC3"/>
    <w:rsid w:val="ECFFD5B8"/>
    <w:rsid w:val="EDF72BF7"/>
    <w:rsid w:val="EDFFAC09"/>
    <w:rsid w:val="EE77EAAA"/>
    <w:rsid w:val="EEEFEE1D"/>
    <w:rsid w:val="EF1743AA"/>
    <w:rsid w:val="EF8B933F"/>
    <w:rsid w:val="EFEC6C60"/>
    <w:rsid w:val="EFF76255"/>
    <w:rsid w:val="F1EFFE49"/>
    <w:rsid w:val="F36F1502"/>
    <w:rsid w:val="F3FDD7A2"/>
    <w:rsid w:val="F531FEE3"/>
    <w:rsid w:val="F5772C8A"/>
    <w:rsid w:val="F5D7540A"/>
    <w:rsid w:val="F5F77ED5"/>
    <w:rsid w:val="F67B1C01"/>
    <w:rsid w:val="F729C057"/>
    <w:rsid w:val="F74B94CF"/>
    <w:rsid w:val="F75B51CA"/>
    <w:rsid w:val="F7BD5619"/>
    <w:rsid w:val="F7C30EDB"/>
    <w:rsid w:val="F7EE3EC7"/>
    <w:rsid w:val="F7FD6624"/>
    <w:rsid w:val="F7FDAE6D"/>
    <w:rsid w:val="F8DD817B"/>
    <w:rsid w:val="F96E64FC"/>
    <w:rsid w:val="F9A3FFB6"/>
    <w:rsid w:val="FAFF6467"/>
    <w:rsid w:val="FBBFCCB1"/>
    <w:rsid w:val="FBFB29DB"/>
    <w:rsid w:val="FCA3C7D4"/>
    <w:rsid w:val="FCEF299D"/>
    <w:rsid w:val="FCF7929C"/>
    <w:rsid w:val="FCFF124B"/>
    <w:rsid w:val="FCFFEDF0"/>
    <w:rsid w:val="FD357F74"/>
    <w:rsid w:val="FDC7EFE4"/>
    <w:rsid w:val="FDCEB0DE"/>
    <w:rsid w:val="FDE72EF3"/>
    <w:rsid w:val="FDEFBBEF"/>
    <w:rsid w:val="FDF68C2C"/>
    <w:rsid w:val="FDF7C441"/>
    <w:rsid w:val="FE37A57D"/>
    <w:rsid w:val="FE75959D"/>
    <w:rsid w:val="FE76A398"/>
    <w:rsid w:val="FEFB6ED7"/>
    <w:rsid w:val="FEFD2878"/>
    <w:rsid w:val="FEFEEB9B"/>
    <w:rsid w:val="FF5D7E06"/>
    <w:rsid w:val="FF7AC097"/>
    <w:rsid w:val="FFAFBEA1"/>
    <w:rsid w:val="FFBFBD7B"/>
    <w:rsid w:val="FFC160CC"/>
    <w:rsid w:val="FFCF56C9"/>
    <w:rsid w:val="FFDF00D2"/>
    <w:rsid w:val="FFF7097C"/>
    <w:rsid w:val="FFF736D7"/>
    <w:rsid w:val="FFF755B6"/>
    <w:rsid w:val="FFF7981E"/>
    <w:rsid w:val="FFF79B86"/>
    <w:rsid w:val="FFFBE024"/>
    <w:rsid w:val="FFFCAF67"/>
    <w:rsid w:val="FFFFE5E5"/>
    <w:rsid w:val="FFFFF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rPr>
      <w:rFonts w:hint="eastAsia" w:ascii="宋体" w:hAnsi="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页眉 Char"/>
    <w:basedOn w:val="8"/>
    <w:link w:val="5"/>
    <w:qFormat/>
    <w:uiPriority w:val="99"/>
    <w:rPr>
      <w:rFonts w:ascii="Calibri" w:hAnsi="Calibri" w:eastAsia="宋体" w:cs="Times New Roman"/>
      <w:sz w:val="18"/>
      <w:szCs w:val="18"/>
    </w:rPr>
  </w:style>
  <w:style w:type="character" w:customStyle="1" w:styleId="11">
    <w:name w:val="页脚 Char"/>
    <w:basedOn w:val="8"/>
    <w:link w:val="4"/>
    <w:qFormat/>
    <w:uiPriority w:val="99"/>
    <w:rPr>
      <w:rFonts w:ascii="Calibri" w:hAnsi="Calibri" w:eastAsia="宋体" w:cs="Times New Roman"/>
      <w:sz w:val="18"/>
      <w:szCs w:val="18"/>
    </w:rPr>
  </w:style>
  <w:style w:type="character" w:customStyle="1" w:styleId="12">
    <w:name w:val="批注框文本 Char"/>
    <w:basedOn w:val="8"/>
    <w:link w:val="3"/>
    <w:semiHidden/>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2</Pages>
  <Words>99</Words>
  <Characters>566</Characters>
  <Lines>4</Lines>
  <Paragraphs>1</Paragraphs>
  <TotalTime>1</TotalTime>
  <ScaleCrop>false</ScaleCrop>
  <LinksUpToDate>false</LinksUpToDate>
  <CharactersWithSpaces>664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2020-03-29T06:11:00Z</dcterms:created>
  <dc:creator>刘旸</dc:creator>
  <cp:lastModifiedBy>greatwall</cp:lastModifiedBy>
  <dcterms:modified xsi:type="dcterms:W3CDTF">2023-01-16T16:52:43Z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