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FF" w:rsidRDefault="00D9195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江门市司法局现行有效行政规范性文件目录</w:t>
      </w:r>
    </w:p>
    <w:p w:rsidR="00743AFF" w:rsidRDefault="00743A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43AFF" w:rsidRDefault="00743AFF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793"/>
        <w:gridCol w:w="4497"/>
        <w:gridCol w:w="2081"/>
        <w:gridCol w:w="1758"/>
        <w:gridCol w:w="2806"/>
        <w:gridCol w:w="2497"/>
      </w:tblGrid>
      <w:tr w:rsidR="00743AFF" w:rsidTr="00D91950">
        <w:tc>
          <w:tcPr>
            <w:tcW w:w="275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57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公文名称</w:t>
            </w:r>
          </w:p>
        </w:tc>
        <w:tc>
          <w:tcPr>
            <w:tcW w:w="721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公文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文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609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公文类型</w:t>
            </w:r>
          </w:p>
        </w:tc>
        <w:tc>
          <w:tcPr>
            <w:tcW w:w="971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实施日期</w:t>
            </w:r>
          </w:p>
        </w:tc>
        <w:tc>
          <w:tcPr>
            <w:tcW w:w="864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>失效日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>期</w:t>
            </w:r>
          </w:p>
        </w:tc>
      </w:tr>
      <w:tr w:rsidR="00743AFF" w:rsidTr="00D91950">
        <w:tc>
          <w:tcPr>
            <w:tcW w:w="275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57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关于印发《江门市司法局关于江门市人民调解“一案一补”“以案定补”管理办法》的通知</w:t>
            </w:r>
          </w:p>
        </w:tc>
        <w:tc>
          <w:tcPr>
            <w:tcW w:w="721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江司办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〕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609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部门规范性文件</w:t>
            </w:r>
          </w:p>
        </w:tc>
        <w:tc>
          <w:tcPr>
            <w:tcW w:w="971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864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2025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29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日</w:t>
            </w:r>
          </w:p>
        </w:tc>
      </w:tr>
      <w:tr w:rsidR="00743AFF" w:rsidTr="00D91950">
        <w:tc>
          <w:tcPr>
            <w:tcW w:w="275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57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江门市司法局关于印发《江门市司法局包容审慎行政执法事项清单》的通知</w:t>
            </w:r>
          </w:p>
        </w:tc>
        <w:tc>
          <w:tcPr>
            <w:tcW w:w="721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江司办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〕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609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部门规范性文件</w:t>
            </w:r>
          </w:p>
        </w:tc>
        <w:tc>
          <w:tcPr>
            <w:tcW w:w="971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864" w:type="pct"/>
            <w:vAlign w:val="center"/>
          </w:tcPr>
          <w:p w:rsidR="00743AFF" w:rsidRDefault="00D9195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2027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日</w:t>
            </w:r>
          </w:p>
        </w:tc>
      </w:tr>
    </w:tbl>
    <w:p w:rsidR="00743AFF" w:rsidRDefault="00743AFF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743AFF">
      <w:pgSz w:w="16838" w:h="11906" w:orient="landscape"/>
      <w:pgMar w:top="1803" w:right="1304" w:bottom="1803" w:left="130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严国花">
    <w15:presenceInfo w15:providerId="None" w15:userId="严国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D0457"/>
    <w:rsid w:val="FAFFFB5B"/>
    <w:rsid w:val="00743AFF"/>
    <w:rsid w:val="00D91950"/>
    <w:rsid w:val="2CA54CD4"/>
    <w:rsid w:val="47FF3E53"/>
    <w:rsid w:val="49E757AA"/>
    <w:rsid w:val="53EE2B48"/>
    <w:rsid w:val="5EFD0457"/>
    <w:rsid w:val="73F72D9A"/>
    <w:rsid w:val="73FD566F"/>
    <w:rsid w:val="7F3FB0CB"/>
    <w:rsid w:val="7FDE3EB8"/>
    <w:rsid w:val="BAFF3CC9"/>
    <w:rsid w:val="DF7FF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D91950"/>
    <w:rPr>
      <w:sz w:val="18"/>
      <w:szCs w:val="18"/>
    </w:rPr>
  </w:style>
  <w:style w:type="character" w:customStyle="1" w:styleId="Char">
    <w:name w:val="批注框文本 Char"/>
    <w:basedOn w:val="a0"/>
    <w:link w:val="a4"/>
    <w:rsid w:val="00D9195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D91950"/>
    <w:rPr>
      <w:sz w:val="18"/>
      <w:szCs w:val="18"/>
    </w:rPr>
  </w:style>
  <w:style w:type="character" w:customStyle="1" w:styleId="Char">
    <w:name w:val="批注框文本 Char"/>
    <w:basedOn w:val="a0"/>
    <w:link w:val="a4"/>
    <w:rsid w:val="00D9195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C4DA-E89D-4B88-AB95-FDFD6703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江门市司法局现行有效行政规范性文件目录（截至2022年底）</dc:title>
  <dc:creator>邓锦冰</dc:creator>
  <cp:lastModifiedBy>AutoBVT</cp:lastModifiedBy>
  <cp:revision>2</cp:revision>
  <dcterms:created xsi:type="dcterms:W3CDTF">2022-12-14T01:15:00Z</dcterms:created>
  <dcterms:modified xsi:type="dcterms:W3CDTF">2022-12-29T07:27:00Z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23905806F1C34178A8DA848B25B64100</vt:lpwstr>
  </property>
</Properties>
</file>