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62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szCs w:val="32"/>
          <w:lang w:eastAsia="zh-CN"/>
        </w:rPr>
      </w:pPr>
      <w:r>
        <w:rPr>
          <w:rFonts w:hint="eastAsia" w:ascii="仿宋_GB2312"/>
          <w:szCs w:val="32"/>
        </w:rPr>
        <w:t>当事人：江门市</w:t>
      </w:r>
      <w:r>
        <w:rPr>
          <w:rFonts w:hint="eastAsia" w:ascii="仿宋_GB2312"/>
          <w:szCs w:val="32"/>
          <w:lang w:eastAsia="zh-CN"/>
        </w:rPr>
        <w:t>新洪利铝制品有限公司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ascii="仿宋_GB2312"/>
          <w:szCs w:val="32"/>
        </w:rPr>
        <w:t>91440705MA</w:t>
      </w:r>
      <w:r>
        <w:rPr>
          <w:rFonts w:hint="eastAsia" w:ascii="仿宋_GB2312"/>
          <w:szCs w:val="32"/>
          <w:lang w:val="en-US" w:eastAsia="zh-CN"/>
        </w:rPr>
        <w:t>53LDE40H</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eastAsia" w:ascii="仿宋_GB2312" w:eastAsia="仿宋_GB2312"/>
          <w:szCs w:val="32"/>
          <w:lang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睦洲镇南安村民委员会牛角洪围（厂房）</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eastAsia="zh-CN"/>
        </w:rPr>
        <w:t>李柳洪</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w:t>
      </w:r>
      <w:r>
        <w:rPr>
          <w:rFonts w:hint="eastAsia" w:ascii="仿宋_GB2312"/>
          <w:szCs w:val="32"/>
          <w:lang w:eastAsia="zh-CN"/>
        </w:rPr>
        <w:t>新洪利铝制品有限公司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lang w:val="en-US" w:eastAsia="zh-CN"/>
        </w:rPr>
        <w:t>2021年7月</w:t>
      </w:r>
      <w:r>
        <w:rPr>
          <w:rFonts w:hint="eastAsia"/>
          <w:szCs w:val="32"/>
        </w:rPr>
        <w:t>，我局执法人员对</w:t>
      </w:r>
      <w:r>
        <w:rPr>
          <w:rFonts w:hint="eastAsia" w:ascii="仿宋_GB2312"/>
          <w:szCs w:val="32"/>
        </w:rPr>
        <w:t>江门市</w:t>
      </w:r>
      <w:r>
        <w:rPr>
          <w:rFonts w:hint="eastAsia" w:ascii="仿宋_GB2312"/>
          <w:szCs w:val="32"/>
          <w:lang w:eastAsia="zh-CN"/>
        </w:rPr>
        <w:t>新洪利铝制品有限公司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_GB2312"/>
          <w:color w:val="auto"/>
          <w:szCs w:val="32"/>
        </w:rPr>
      </w:pPr>
      <w:r>
        <w:rPr>
          <w:rFonts w:hint="eastAsia" w:ascii="仿宋_GB2312"/>
          <w:color w:val="auto"/>
          <w:szCs w:val="32"/>
          <w:lang w:eastAsia="zh-CN"/>
        </w:rPr>
        <w:t>你</w:t>
      </w:r>
      <w:r>
        <w:rPr>
          <w:rFonts w:hint="eastAsia" w:ascii="仿宋_GB2312"/>
          <w:color w:val="auto"/>
          <w:szCs w:val="32"/>
        </w:rPr>
        <w:t>单位铝制品阳极氧化生产车间产生的酸雾废气收集后未经碱液喷淋处理，直接通过排气筒向外排放。</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你单位的上述行为违反了《中华人民共和国大气污染防治法》第二十条的规定，依法应当予以处罚。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eastAsia="仿宋_GB2312"/>
          <w:szCs w:val="32"/>
          <w:lang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16</w:t>
      </w:r>
      <w:r>
        <w:rPr>
          <w:rFonts w:hint="eastAsia" w:ascii="仿宋_GB2312" w:hAnsi="宋体"/>
          <w:szCs w:val="32"/>
        </w:rPr>
        <w:t>日告知你单位违法事实、处罚依据和拟作出的处罚决定，并告知你单位有权进行陈述申辩和要求听证。你单位未提出陈述申辩，也未在法定期限内提出听证申请。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8</w:t>
      </w:r>
      <w:r>
        <w:rPr>
          <w:rFonts w:hint="eastAsia" w:ascii="仿宋_GB2312" w:hAnsi="宋体"/>
          <w:szCs w:val="32"/>
        </w:rPr>
        <w:t>月</w:t>
      </w:r>
      <w:r>
        <w:rPr>
          <w:rFonts w:hint="eastAsia" w:ascii="仿宋_GB2312"/>
          <w:lang w:val="en-US" w:eastAsia="zh-CN"/>
        </w:rPr>
        <w:t>9</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63</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8</w:t>
      </w:r>
      <w:r>
        <w:rPr>
          <w:rFonts w:hint="eastAsia" w:ascii="仿宋_GB2312"/>
        </w:rPr>
        <w:t>月</w:t>
      </w:r>
      <w:r>
        <w:rPr>
          <w:rFonts w:hint="eastAsia" w:ascii="仿宋_GB2312"/>
          <w:lang w:val="en-US" w:eastAsia="zh-CN"/>
        </w:rPr>
        <w:t>16</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rPr>
      </w:pPr>
      <w:r>
        <w:rPr>
          <w:rFonts w:ascii="仿宋_GB2312"/>
        </w:rPr>
        <w:t>《</w:t>
      </w:r>
      <w:r>
        <w:rPr>
          <w:rFonts w:hint="eastAsia" w:ascii="仿宋_GB2312"/>
        </w:rPr>
        <w:t>中华人民共和国大气污染防治法</w:t>
      </w:r>
      <w:r>
        <w:rPr>
          <w:rFonts w:ascii="仿宋_GB2312"/>
        </w:rPr>
        <w:t>》</w:t>
      </w:r>
      <w:r>
        <w:rPr>
          <w:rFonts w:hint="eastAsia" w:ascii="仿宋_GB2312"/>
          <w:lang w:eastAsia="zh-CN"/>
        </w:rPr>
        <w:t>第二十条规定，</w:t>
      </w:r>
      <w:r>
        <w:rPr>
          <w:rFonts w:hint="eastAsia" w:ascii="仿宋_GB2312"/>
        </w:rPr>
        <w:t>企业事业单位和其他生产经营者向大气排放污染物的，应当依照法律法规和国务院生态环境主管部门的规定设置大气污染物排放口。</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rPr>
      </w:pPr>
      <w:r>
        <w:rPr>
          <w:rFonts w:hint="eastAsia" w:ascii="仿宋_GB2312"/>
        </w:rPr>
        <w:t>禁止通过偷排、篡改或者伪造监测数据、以逃避现场检查为目的的临时停产、非紧急情况下开启应急排放通道、不正常运行大气污染防治设施等逃避监管的方式排放大气污染物。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w:t>
      </w:r>
      <w:r>
        <w:rPr>
          <w:rFonts w:hint="eastAsia" w:ascii="仿宋_GB2312"/>
          <w:lang w:eastAsia="zh-CN"/>
        </w:rPr>
        <w:t>（三）</w:t>
      </w:r>
      <w:r>
        <w:rPr>
          <w:rFonts w:hint="eastAsia" w:ascii="仿宋_GB2312"/>
        </w:rPr>
        <w:t>项规定，违反本法规定，通过逃避监管的方式排放大气污染物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8</w:t>
      </w:r>
      <w:r>
        <w:rPr>
          <w:rFonts w:hint="eastAsia" w:ascii="仿宋_GB2312"/>
          <w:b/>
        </w:rPr>
        <w:t>月</w:t>
      </w:r>
      <w:r>
        <w:rPr>
          <w:rFonts w:hint="eastAsia" w:ascii="仿宋_GB2312"/>
          <w:b/>
          <w:lang w:val="en-US" w:eastAsia="zh-CN"/>
        </w:rPr>
        <w:t>5</w:t>
      </w:r>
      <w:r>
        <w:rPr>
          <w:rFonts w:hint="eastAsia" w:ascii="仿宋_GB2312"/>
          <w:b/>
        </w:rPr>
        <w:t>日向你单位送达《责令改正违法行为决定书》（江新环改〔202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53</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依据上述和《江门市生态环境局关于生态环境违法行为行政处罚自由裁量权裁量标准规定（试行）》的规定，我局决定对你单位处罚款</w:t>
      </w:r>
      <w:r>
        <w:rPr>
          <w:rFonts w:hint="eastAsia" w:ascii="仿宋_GB2312"/>
          <w:b/>
          <w:highlight w:val="none"/>
          <w:lang w:val="en-US" w:eastAsia="zh-CN"/>
        </w:rPr>
        <w:t>十五</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你单位如不服本处罚决定，可在收到本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w:t>
      </w:r>
      <w:bookmarkStart w:id="0" w:name="_GoBack"/>
      <w:bookmarkEnd w:id="0"/>
      <w:r>
        <w:rPr>
          <w:rFonts w:hint="eastAsia" w:ascii="仿宋_GB2312" w:hAnsi="宋体"/>
          <w:kern w:val="0"/>
        </w:rPr>
        <w:t xml:space="preserve">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26</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睦洲镇生态环境保护办公室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5B051A"/>
    <w:rsid w:val="06A56CC2"/>
    <w:rsid w:val="09612780"/>
    <w:rsid w:val="09BB5AA6"/>
    <w:rsid w:val="10B34097"/>
    <w:rsid w:val="16BB2D6C"/>
    <w:rsid w:val="19FB10D4"/>
    <w:rsid w:val="2AAD7CB6"/>
    <w:rsid w:val="2DA42B43"/>
    <w:rsid w:val="2E442D9C"/>
    <w:rsid w:val="318F6C0A"/>
    <w:rsid w:val="32257A5E"/>
    <w:rsid w:val="32D37D7A"/>
    <w:rsid w:val="386F51D4"/>
    <w:rsid w:val="42A25B31"/>
    <w:rsid w:val="49C4596D"/>
    <w:rsid w:val="4AA77651"/>
    <w:rsid w:val="50A447B5"/>
    <w:rsid w:val="570322C8"/>
    <w:rsid w:val="58CA2088"/>
    <w:rsid w:val="5AAD3E10"/>
    <w:rsid w:val="5ED53B93"/>
    <w:rsid w:val="602D574A"/>
    <w:rsid w:val="62BB6394"/>
    <w:rsid w:val="63C93BBB"/>
    <w:rsid w:val="68AD1B26"/>
    <w:rsid w:val="6970309A"/>
    <w:rsid w:val="71813D68"/>
    <w:rsid w:val="730C565B"/>
    <w:rsid w:val="73523EB6"/>
    <w:rsid w:val="77481143"/>
    <w:rsid w:val="779E1C22"/>
    <w:rsid w:val="79BC1E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1</TotalTime>
  <ScaleCrop>false</ScaleCrop>
  <LinksUpToDate>false</LinksUpToDate>
  <CharactersWithSpaces>1565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2021-08-27T00:44:55Z</cp:lastPrinted>
  <dcterms:modified xsi:type="dcterms:W3CDTF">2021-08-27T00:45:34Z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7D79A6A8554D4CD2B61BC2A37AF9EE76</vt:lpwstr>
  </property>
  <property fmtid="{D5CDD505-2E9C-101B-9397-08002B2CF9AE}" pid="4" name="KSOSaveFontToCloudKey">
    <vt:lpwstr>0_btnclosed</vt:lpwstr>
  </property>
</Properties>
</file>