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EC" w:rsidRDefault="00E771EC" w:rsidP="00E771EC">
      <w:pPr>
        <w:widowControl/>
        <w:jc w:val="left"/>
        <w:rPr>
          <w:rFonts w:ascii="黑体" w:eastAsia="黑体" w:hAnsi="黑体" w:cs="宋体" w:hint="default"/>
          <w:kern w:val="0"/>
          <w:sz w:val="32"/>
          <w:szCs w:val="32"/>
        </w:rPr>
      </w:pPr>
      <w:r>
        <w:rPr>
          <w:rFonts w:ascii="黑体" w:eastAsia="黑体" w:hAnsi="黑体" w:cs="宋体"/>
          <w:kern w:val="0"/>
          <w:sz w:val="32"/>
          <w:szCs w:val="32"/>
        </w:rPr>
        <w:t>附件</w:t>
      </w:r>
    </w:p>
    <w:p w:rsidR="00E771EC" w:rsidRDefault="00E771EC" w:rsidP="00E771EC">
      <w:pPr>
        <w:widowControl/>
        <w:jc w:val="center"/>
        <w:rPr>
          <w:rFonts w:ascii="宋体" w:eastAsia="宋体" w:hAnsi="宋体" w:cs="宋体" w:hint="default"/>
          <w:b/>
          <w:bCs/>
          <w:kern w:val="0"/>
          <w:sz w:val="44"/>
          <w:szCs w:val="44"/>
        </w:rPr>
      </w:pPr>
      <w:bookmarkStart w:id="0" w:name="_GoBack"/>
      <w:r>
        <w:rPr>
          <w:rFonts w:ascii="宋体" w:eastAsia="宋体" w:hAnsi="宋体" w:cs="宋体"/>
          <w:b/>
          <w:bCs/>
          <w:kern w:val="0"/>
          <w:sz w:val="44"/>
          <w:szCs w:val="44"/>
        </w:rPr>
        <w:t>江门市医疗保障局行政处罚自由裁量细化标准</w:t>
      </w:r>
    </w:p>
    <w:tbl>
      <w:tblPr>
        <w:tblW w:w="13567" w:type="dxa"/>
        <w:jc w:val="center"/>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260"/>
        <w:gridCol w:w="3989"/>
        <w:gridCol w:w="1069"/>
        <w:gridCol w:w="2974"/>
        <w:gridCol w:w="2839"/>
      </w:tblGrid>
      <w:tr w:rsidR="00E771EC" w:rsidTr="001B4FF3">
        <w:trPr>
          <w:trHeight w:val="540"/>
          <w:jc w:val="center"/>
        </w:trPr>
        <w:tc>
          <w:tcPr>
            <w:tcW w:w="436" w:type="dxa"/>
            <w:shd w:val="clear" w:color="000000" w:fill="FFFFFF"/>
            <w:vAlign w:val="center"/>
          </w:tcPr>
          <w:bookmarkEnd w:id="0"/>
          <w:p w:rsidR="00E771EC" w:rsidRDefault="00E771EC" w:rsidP="001B4FF3">
            <w:pPr>
              <w:widowControl/>
              <w:jc w:val="center"/>
              <w:rPr>
                <w:rFonts w:ascii="黑体" w:eastAsia="黑体" w:hAnsi="黑体" w:cs="宋体" w:hint="default"/>
                <w:kern w:val="0"/>
                <w:sz w:val="22"/>
                <w:szCs w:val="22"/>
              </w:rPr>
            </w:pPr>
            <w:r>
              <w:rPr>
                <w:rFonts w:ascii="黑体" w:eastAsia="黑体" w:hAnsi="黑体" w:cs="宋体"/>
                <w:kern w:val="0"/>
                <w:sz w:val="22"/>
                <w:szCs w:val="22"/>
              </w:rPr>
              <w:t>序号</w:t>
            </w:r>
          </w:p>
        </w:tc>
        <w:tc>
          <w:tcPr>
            <w:tcW w:w="2260" w:type="dxa"/>
            <w:shd w:val="clear" w:color="000000" w:fill="FFFFFF"/>
            <w:vAlign w:val="center"/>
          </w:tcPr>
          <w:p w:rsidR="00E771EC" w:rsidRDefault="00E771EC" w:rsidP="001B4FF3">
            <w:pPr>
              <w:widowControl/>
              <w:jc w:val="center"/>
              <w:rPr>
                <w:rFonts w:ascii="黑体" w:eastAsia="黑体" w:hAnsi="黑体" w:cs="宋体" w:hint="default"/>
                <w:kern w:val="0"/>
                <w:sz w:val="22"/>
                <w:szCs w:val="22"/>
              </w:rPr>
            </w:pPr>
            <w:r>
              <w:rPr>
                <w:rFonts w:ascii="黑体" w:eastAsia="黑体" w:hAnsi="黑体" w:cs="宋体"/>
                <w:kern w:val="0"/>
                <w:sz w:val="22"/>
                <w:szCs w:val="22"/>
              </w:rPr>
              <w:t>违法行为</w:t>
            </w:r>
          </w:p>
        </w:tc>
        <w:tc>
          <w:tcPr>
            <w:tcW w:w="3989" w:type="dxa"/>
            <w:shd w:val="clear" w:color="000000" w:fill="FFFFFF"/>
            <w:vAlign w:val="center"/>
          </w:tcPr>
          <w:p w:rsidR="00E771EC" w:rsidRDefault="00E771EC" w:rsidP="001B4FF3">
            <w:pPr>
              <w:widowControl/>
              <w:jc w:val="center"/>
              <w:rPr>
                <w:rFonts w:ascii="黑体" w:eastAsia="黑体" w:hAnsi="黑体" w:cs="宋体" w:hint="default"/>
                <w:kern w:val="0"/>
                <w:sz w:val="22"/>
                <w:szCs w:val="22"/>
              </w:rPr>
            </w:pPr>
            <w:r>
              <w:rPr>
                <w:rFonts w:ascii="黑体" w:eastAsia="黑体" w:hAnsi="黑体" w:cs="宋体"/>
                <w:kern w:val="0"/>
                <w:sz w:val="22"/>
                <w:szCs w:val="22"/>
              </w:rPr>
              <w:t>法律依据</w:t>
            </w:r>
          </w:p>
        </w:tc>
        <w:tc>
          <w:tcPr>
            <w:tcW w:w="1069" w:type="dxa"/>
            <w:shd w:val="clear" w:color="000000" w:fill="FFFFFF"/>
            <w:vAlign w:val="center"/>
          </w:tcPr>
          <w:p w:rsidR="00E771EC" w:rsidRDefault="00E771EC" w:rsidP="001B4FF3">
            <w:pPr>
              <w:widowControl/>
              <w:jc w:val="center"/>
              <w:rPr>
                <w:rFonts w:ascii="黑体" w:eastAsia="黑体" w:hAnsi="黑体" w:cs="宋体" w:hint="default"/>
                <w:kern w:val="0"/>
                <w:sz w:val="22"/>
                <w:szCs w:val="22"/>
              </w:rPr>
            </w:pPr>
            <w:r>
              <w:rPr>
                <w:rFonts w:ascii="黑体" w:eastAsia="黑体" w:hAnsi="黑体" w:cs="宋体"/>
                <w:kern w:val="0"/>
                <w:sz w:val="22"/>
                <w:szCs w:val="22"/>
              </w:rPr>
              <w:t>违法</w:t>
            </w:r>
            <w:r>
              <w:rPr>
                <w:rFonts w:ascii="黑体" w:eastAsia="黑体" w:hAnsi="黑体" w:cs="宋体"/>
                <w:kern w:val="0"/>
                <w:sz w:val="22"/>
                <w:szCs w:val="22"/>
              </w:rPr>
              <w:br/>
              <w:t>程度</w:t>
            </w:r>
          </w:p>
        </w:tc>
        <w:tc>
          <w:tcPr>
            <w:tcW w:w="2974" w:type="dxa"/>
            <w:shd w:val="clear" w:color="000000" w:fill="FFFFFF"/>
            <w:vAlign w:val="center"/>
          </w:tcPr>
          <w:p w:rsidR="00E771EC" w:rsidRDefault="00E771EC" w:rsidP="001B4FF3">
            <w:pPr>
              <w:widowControl/>
              <w:jc w:val="center"/>
              <w:rPr>
                <w:rFonts w:ascii="黑体" w:eastAsia="黑体" w:hAnsi="黑体" w:cs="宋体" w:hint="default"/>
                <w:kern w:val="0"/>
                <w:sz w:val="22"/>
                <w:szCs w:val="22"/>
              </w:rPr>
            </w:pPr>
            <w:r>
              <w:rPr>
                <w:rFonts w:ascii="黑体" w:eastAsia="黑体" w:hAnsi="黑体" w:cs="宋体"/>
                <w:kern w:val="0"/>
                <w:sz w:val="22"/>
                <w:szCs w:val="22"/>
              </w:rPr>
              <w:t>违法情节</w:t>
            </w:r>
          </w:p>
        </w:tc>
        <w:tc>
          <w:tcPr>
            <w:tcW w:w="2839" w:type="dxa"/>
            <w:shd w:val="clear" w:color="000000" w:fill="FFFFFF"/>
            <w:vAlign w:val="center"/>
          </w:tcPr>
          <w:p w:rsidR="00E771EC" w:rsidRDefault="00E771EC" w:rsidP="001B4FF3">
            <w:pPr>
              <w:widowControl/>
              <w:jc w:val="center"/>
              <w:rPr>
                <w:rFonts w:ascii="黑体" w:eastAsia="黑体" w:hAnsi="黑体" w:cs="宋体" w:hint="default"/>
                <w:kern w:val="0"/>
                <w:sz w:val="22"/>
                <w:szCs w:val="22"/>
              </w:rPr>
            </w:pPr>
            <w:r>
              <w:rPr>
                <w:rFonts w:ascii="黑体" w:eastAsia="黑体" w:hAnsi="黑体" w:cs="宋体"/>
                <w:kern w:val="0"/>
                <w:sz w:val="22"/>
                <w:szCs w:val="22"/>
              </w:rPr>
              <w:t>处罚裁量标准</w:t>
            </w:r>
          </w:p>
        </w:tc>
      </w:tr>
      <w:tr w:rsidR="00E771EC" w:rsidTr="001B4FF3">
        <w:trPr>
          <w:trHeight w:val="1552"/>
          <w:jc w:val="center"/>
        </w:trPr>
        <w:tc>
          <w:tcPr>
            <w:tcW w:w="436"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1</w:t>
            </w:r>
          </w:p>
        </w:tc>
        <w:tc>
          <w:tcPr>
            <w:tcW w:w="2260"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用人单位、社会保险服务机构、承办社会保险业务的商业保险机构等单位和个人拒绝、阻挠监督人员进行监督检查的；拒绝或者无正当理由拖延提供与监督事项有关的资料，或者转移、隐匿、损毁被封存资料的；不按要求报送书面材料或者</w:t>
            </w:r>
            <w:proofErr w:type="gramStart"/>
            <w:r>
              <w:rPr>
                <w:rFonts w:ascii="仿宋_GB2312" w:eastAsia="仿宋_GB2312" w:hAnsi="宋体" w:cs="宋体"/>
                <w:kern w:val="0"/>
              </w:rPr>
              <w:t>作出</w:t>
            </w:r>
            <w:proofErr w:type="gramEnd"/>
            <w:r>
              <w:rPr>
                <w:rFonts w:ascii="仿宋_GB2312" w:eastAsia="仿宋_GB2312" w:hAnsi="宋体" w:cs="宋体"/>
                <w:kern w:val="0"/>
              </w:rPr>
              <w:t>说明，隐瞒事实真相，出具伪证或者隐匿、毁灭证据的</w:t>
            </w:r>
          </w:p>
        </w:tc>
        <w:tc>
          <w:tcPr>
            <w:tcW w:w="3989"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广东省社会保险基金监督条例》第六十八条：被监督单位和个人有下列行为之一的，由负责社会保险基金监督的行政部门予以制止，责令其限期改正；县级以上人民政府有关部门、机构及其工作人员有下列行为的，对直接负责的主管人员和其他直接责任人员依法给予处分；用人单位、社会保险服务机构、承办社会保险业务的商业保险机构等单位和个人有第一项、第二项、第三项行为之一的，由社会保险行政部门处二千元以上二万元以下的罚款：（一）拒绝、阻挠监督人员进行监督检查的；（二）拒绝或者无正当理由拖延提供与监督事项有关的资料，或者转移、隐匿、损毁被封存资料的；（三）不按要求报送书面材料或者</w:t>
            </w:r>
            <w:proofErr w:type="gramStart"/>
            <w:r>
              <w:rPr>
                <w:rFonts w:ascii="仿宋_GB2312" w:eastAsia="仿宋_GB2312" w:hAnsi="宋体" w:cs="宋体"/>
                <w:kern w:val="0"/>
              </w:rPr>
              <w:t>作出</w:t>
            </w:r>
            <w:proofErr w:type="gramEnd"/>
            <w:r>
              <w:rPr>
                <w:rFonts w:ascii="仿宋_GB2312" w:eastAsia="仿宋_GB2312" w:hAnsi="宋体" w:cs="宋体"/>
                <w:kern w:val="0"/>
              </w:rPr>
              <w:t>说明，隐瞒事实真相，出具伪证或者隐匿、毁灭证据的；</w:t>
            </w: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从轻</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经责令改正后及时改正，且未造成案件无法查处、与案件查处有关的资料、信息和数据被转移、隐匿、损毁等严重后果的，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处2000元以上6000元以下罚款</w:t>
            </w:r>
          </w:p>
        </w:tc>
      </w:tr>
      <w:tr w:rsidR="00E771EC" w:rsidTr="001B4FF3">
        <w:trPr>
          <w:trHeight w:val="1553"/>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一般</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经责令改正后未及时改正的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处6000元以上10000元以下罚款</w:t>
            </w:r>
          </w:p>
        </w:tc>
      </w:tr>
      <w:tr w:rsidR="00E771EC" w:rsidTr="001B4FF3">
        <w:trPr>
          <w:trHeight w:val="1552"/>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从重</w:t>
            </w:r>
          </w:p>
        </w:tc>
        <w:tc>
          <w:tcPr>
            <w:tcW w:w="2974" w:type="dxa"/>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经责令改正后拒不改正，造成案件无法查处、与案件查处有关的资料、信息和数据被转移、隐匿、损毁等严重后果的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处10000元以上15000元以下罚款</w:t>
            </w:r>
          </w:p>
        </w:tc>
      </w:tr>
      <w:tr w:rsidR="00E771EC" w:rsidTr="001B4FF3">
        <w:trPr>
          <w:trHeight w:val="1553"/>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shd w:val="clear" w:color="auto" w:fill="auto"/>
            <w:vAlign w:val="center"/>
          </w:tcPr>
          <w:p w:rsidR="00E771EC" w:rsidRDefault="00E771EC" w:rsidP="001B4FF3">
            <w:pPr>
              <w:widowControl/>
              <w:jc w:val="center"/>
              <w:rPr>
                <w:rFonts w:ascii="仿宋_GB2312" w:eastAsia="仿宋_GB2312" w:hAnsi="宋体" w:cs="宋体" w:hint="default"/>
                <w:kern w:val="0"/>
              </w:rPr>
            </w:pPr>
          </w:p>
        </w:tc>
        <w:tc>
          <w:tcPr>
            <w:tcW w:w="2974" w:type="dxa"/>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二次以上拒不配合执法或二次以上拒不改正的；采取暴力、威胁等方式抗拒阻挠执法的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处15000元以上20000元以下罚款</w:t>
            </w:r>
          </w:p>
        </w:tc>
      </w:tr>
      <w:tr w:rsidR="00E771EC" w:rsidTr="001B4FF3">
        <w:trPr>
          <w:trHeight w:val="1112"/>
          <w:jc w:val="center"/>
        </w:trPr>
        <w:tc>
          <w:tcPr>
            <w:tcW w:w="436"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lastRenderedPageBreak/>
              <w:t>2</w:t>
            </w:r>
          </w:p>
        </w:tc>
        <w:tc>
          <w:tcPr>
            <w:tcW w:w="2260"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以欺诈、伪造证明材料、冒用他人证件、虚构劳动关系等手段办理医疗保险业务的</w:t>
            </w:r>
          </w:p>
        </w:tc>
        <w:tc>
          <w:tcPr>
            <w:tcW w:w="3989"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广东省社会保险基金监督条例》第六十一条第一项：以欺诈、伪造证明材料、冒用他人证件、虚构劳动关系等手段办理社会保险业务的，社会保险行政部门、社会保险费征收机构、社会保险经办机构不予办理，将有关情况记入其信用档案；情节严重的，处涉案金额一倍以上三倍以下的罚款。</w:t>
            </w: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从轻</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首次违法但能积极配合执法，及时改正违法行为，已造成严重后果的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处涉案金额一倍罚款</w:t>
            </w:r>
          </w:p>
        </w:tc>
      </w:tr>
      <w:tr w:rsidR="00E771EC" w:rsidTr="001B4FF3">
        <w:trPr>
          <w:trHeight w:val="1112"/>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一般</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首次违法且不配合执法，不改正违法行为的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处涉案金额二倍罚款</w:t>
            </w:r>
          </w:p>
        </w:tc>
      </w:tr>
      <w:tr w:rsidR="00E771EC" w:rsidTr="001B4FF3">
        <w:trPr>
          <w:trHeight w:val="1327"/>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从重</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再次发生以欺诈、伪造证明材料、冒用他人证件、虚构劳动关系等手段办理医疗保险业务行为的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处涉案金额三倍罚款</w:t>
            </w:r>
          </w:p>
        </w:tc>
      </w:tr>
      <w:tr w:rsidR="00E771EC" w:rsidTr="001B4FF3">
        <w:trPr>
          <w:trHeight w:val="850"/>
          <w:jc w:val="center"/>
        </w:trPr>
        <w:tc>
          <w:tcPr>
            <w:tcW w:w="436"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3</w:t>
            </w:r>
          </w:p>
        </w:tc>
        <w:tc>
          <w:tcPr>
            <w:tcW w:w="2260"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隐瞒真相、出具伪证或者以其他不正当手段参加生育保险的</w:t>
            </w:r>
          </w:p>
        </w:tc>
        <w:tc>
          <w:tcPr>
            <w:tcW w:w="3989"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《广东省职工生育保险规定》第四十一条：隐瞒事实真相、出具伪证或者以其他不正当手段参加生育保险的，由社会保险行政部门责令改正，并处2000元以上2万元以下的罚款；</w:t>
            </w: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从轻</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涉及劳动者人数不满2人的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处2000元以上5000元以下罚款</w:t>
            </w:r>
          </w:p>
        </w:tc>
      </w:tr>
      <w:tr w:rsidR="00E771EC" w:rsidTr="001B4FF3">
        <w:trPr>
          <w:trHeight w:val="850"/>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一般</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涉及劳动者人数不满3人的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处5000元以上10000元以下罚款</w:t>
            </w:r>
          </w:p>
        </w:tc>
      </w:tr>
      <w:tr w:rsidR="00E771EC" w:rsidTr="001B4FF3">
        <w:trPr>
          <w:trHeight w:val="850"/>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从重</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涉及劳动者人数不满4人的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处10000元以上15000元以下罚款</w:t>
            </w:r>
          </w:p>
        </w:tc>
      </w:tr>
      <w:tr w:rsidR="00E771EC" w:rsidTr="001B4FF3">
        <w:trPr>
          <w:trHeight w:val="1349"/>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shd w:val="clear" w:color="auto" w:fill="auto"/>
            <w:vAlign w:val="center"/>
          </w:tcPr>
          <w:p w:rsidR="00E771EC" w:rsidRDefault="00E771EC" w:rsidP="001B4FF3">
            <w:pPr>
              <w:widowControl/>
              <w:jc w:val="center"/>
              <w:rPr>
                <w:rFonts w:ascii="仿宋_GB2312" w:eastAsia="仿宋_GB2312" w:hAnsi="宋体" w:cs="宋体" w:hint="default"/>
                <w:kern w:val="0"/>
              </w:rPr>
            </w:pPr>
          </w:p>
        </w:tc>
        <w:tc>
          <w:tcPr>
            <w:tcW w:w="2974" w:type="dxa"/>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再次发生隐瞒真相、出具伪证或者以其他不正当手段参加生育保险的或涉及劳动者人数4人以上的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处15000元以上20000元以下罚款</w:t>
            </w:r>
          </w:p>
        </w:tc>
      </w:tr>
      <w:tr w:rsidR="00E771EC" w:rsidTr="001B4FF3">
        <w:trPr>
          <w:trHeight w:val="817"/>
          <w:jc w:val="center"/>
        </w:trPr>
        <w:tc>
          <w:tcPr>
            <w:tcW w:w="436"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lastRenderedPageBreak/>
              <w:t>4</w:t>
            </w:r>
          </w:p>
        </w:tc>
        <w:tc>
          <w:tcPr>
            <w:tcW w:w="2260"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社会保险经办机构以及医疗机构、药品经营单位等社会保险服务机构以欺诈、伪造证明材料或者其他手段骗取医疗保障基金的</w:t>
            </w:r>
          </w:p>
        </w:tc>
        <w:tc>
          <w:tcPr>
            <w:tcW w:w="3989"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从轻</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能积极配合执法，及时改正违法行为，且骗取金额不满4000元的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处骗取金额二倍罚款</w:t>
            </w:r>
          </w:p>
        </w:tc>
      </w:tr>
      <w:tr w:rsidR="00E771EC" w:rsidTr="001B4FF3">
        <w:trPr>
          <w:trHeight w:val="627"/>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一般</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骗取金额4000元以上不满6万元的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处骗取金额三倍罚款</w:t>
            </w:r>
          </w:p>
        </w:tc>
      </w:tr>
      <w:tr w:rsidR="00E771EC" w:rsidTr="001B4FF3">
        <w:trPr>
          <w:trHeight w:val="657"/>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从重</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骗取金额6万元以上不满50万元的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处骗取金额四倍罚款</w:t>
            </w:r>
          </w:p>
        </w:tc>
      </w:tr>
      <w:tr w:rsidR="00E771EC" w:rsidTr="001B4FF3">
        <w:trPr>
          <w:trHeight w:val="462"/>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shd w:val="clear" w:color="auto" w:fill="auto"/>
            <w:vAlign w:val="center"/>
          </w:tcPr>
          <w:p w:rsidR="00E771EC" w:rsidRDefault="00E771EC" w:rsidP="001B4FF3">
            <w:pPr>
              <w:widowControl/>
              <w:jc w:val="center"/>
              <w:rPr>
                <w:rFonts w:ascii="仿宋_GB2312" w:eastAsia="仿宋_GB2312" w:hAnsi="宋体" w:cs="宋体" w:hint="default"/>
                <w:kern w:val="0"/>
              </w:rPr>
            </w:pP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骗取金额50万元以上的</w:t>
            </w:r>
          </w:p>
        </w:tc>
        <w:tc>
          <w:tcPr>
            <w:tcW w:w="2839" w:type="dxa"/>
            <w:vMerge w:val="restart"/>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处骗取金额五倍罚款</w:t>
            </w:r>
          </w:p>
        </w:tc>
      </w:tr>
      <w:tr w:rsidR="00E771EC" w:rsidTr="001B4FF3">
        <w:trPr>
          <w:trHeight w:val="642"/>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vAlign w:val="center"/>
          </w:tcPr>
          <w:p w:rsidR="00E771EC" w:rsidRDefault="00E771EC" w:rsidP="001B4FF3">
            <w:pPr>
              <w:widowControl/>
              <w:jc w:val="center"/>
              <w:rPr>
                <w:rFonts w:ascii="仿宋_GB2312" w:eastAsia="仿宋_GB2312" w:hAnsi="宋体" w:cs="宋体" w:hint="default"/>
                <w:kern w:val="0"/>
              </w:rPr>
            </w:pP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不配合执法、拒不改正违法行为的</w:t>
            </w:r>
          </w:p>
        </w:tc>
        <w:tc>
          <w:tcPr>
            <w:tcW w:w="2839" w:type="dxa"/>
            <w:vMerge/>
            <w:vAlign w:val="center"/>
          </w:tcPr>
          <w:p w:rsidR="00E771EC" w:rsidRDefault="00E771EC" w:rsidP="001B4FF3">
            <w:pPr>
              <w:widowControl/>
              <w:jc w:val="left"/>
              <w:rPr>
                <w:rFonts w:ascii="仿宋_GB2312" w:eastAsia="仿宋_GB2312" w:hAnsi="宋体" w:cs="宋体" w:hint="default"/>
                <w:kern w:val="0"/>
              </w:rPr>
            </w:pPr>
          </w:p>
        </w:tc>
      </w:tr>
      <w:tr w:rsidR="00E771EC" w:rsidTr="001B4FF3">
        <w:trPr>
          <w:trHeight w:val="662"/>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vAlign w:val="center"/>
          </w:tcPr>
          <w:p w:rsidR="00E771EC" w:rsidRDefault="00E771EC" w:rsidP="001B4FF3">
            <w:pPr>
              <w:widowControl/>
              <w:jc w:val="center"/>
              <w:rPr>
                <w:rFonts w:ascii="仿宋_GB2312" w:eastAsia="仿宋_GB2312" w:hAnsi="宋体" w:cs="宋体" w:hint="default"/>
                <w:kern w:val="0"/>
              </w:rPr>
            </w:pP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再次发生以欺诈、伪造证明材料或者其他手段骗取医疗保障待遇行为的</w:t>
            </w:r>
          </w:p>
        </w:tc>
        <w:tc>
          <w:tcPr>
            <w:tcW w:w="2839" w:type="dxa"/>
            <w:vMerge/>
            <w:vAlign w:val="center"/>
          </w:tcPr>
          <w:p w:rsidR="00E771EC" w:rsidRDefault="00E771EC" w:rsidP="001B4FF3">
            <w:pPr>
              <w:widowControl/>
              <w:jc w:val="left"/>
              <w:rPr>
                <w:rFonts w:ascii="仿宋_GB2312" w:eastAsia="仿宋_GB2312" w:hAnsi="宋体" w:cs="宋体" w:hint="default"/>
                <w:kern w:val="0"/>
              </w:rPr>
            </w:pPr>
          </w:p>
        </w:tc>
      </w:tr>
      <w:tr w:rsidR="00E771EC" w:rsidTr="001B4FF3">
        <w:trPr>
          <w:trHeight w:val="957"/>
          <w:jc w:val="center"/>
        </w:trPr>
        <w:tc>
          <w:tcPr>
            <w:tcW w:w="436"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5</w:t>
            </w:r>
          </w:p>
        </w:tc>
        <w:tc>
          <w:tcPr>
            <w:tcW w:w="2260"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以欺诈、伪造证明材料或者其他手段骗取社会保险待遇的</w:t>
            </w:r>
          </w:p>
        </w:tc>
        <w:tc>
          <w:tcPr>
            <w:tcW w:w="3989"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《社会保险法》第八十八条：以欺诈、伪造证明材料或者其他手段骗取社会保险待遇的，由社会保险行政部门责令退回骗取的社会保险金，处骗取金额二倍以上五倍以下的罚款。</w:t>
            </w: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从轻</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能积极配合执法，及时改正违法行为，且骗取金额不满4000元的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处骗取金额二倍罚款</w:t>
            </w:r>
          </w:p>
        </w:tc>
      </w:tr>
      <w:tr w:rsidR="00E771EC" w:rsidTr="001B4FF3">
        <w:trPr>
          <w:trHeight w:val="594"/>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一般</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骗取金额4000元以上不满6万元的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处骗取金额三倍罚款</w:t>
            </w:r>
          </w:p>
        </w:tc>
      </w:tr>
      <w:tr w:rsidR="00E771EC" w:rsidTr="001B4FF3">
        <w:trPr>
          <w:trHeight w:val="609"/>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从重</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骗取金额6万元以上不满50万元的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处骗取金额四倍罚款</w:t>
            </w:r>
          </w:p>
        </w:tc>
      </w:tr>
      <w:tr w:rsidR="00E771EC" w:rsidTr="001B4FF3">
        <w:trPr>
          <w:trHeight w:val="417"/>
          <w:jc w:val="center"/>
        </w:trPr>
        <w:tc>
          <w:tcPr>
            <w:tcW w:w="436" w:type="dxa"/>
            <w:vMerge/>
            <w:vAlign w:val="center"/>
          </w:tcPr>
          <w:p w:rsidR="00E771EC" w:rsidRDefault="00E771EC" w:rsidP="001B4FF3">
            <w:pPr>
              <w:widowControl/>
              <w:jc w:val="left"/>
              <w:rPr>
                <w:rFonts w:ascii="仿宋_GB2312" w:eastAsia="仿宋_GB2312" w:hAnsi="宋体" w:cs="宋体" w:hint="default"/>
                <w:kern w:val="0"/>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shd w:val="clear" w:color="auto" w:fill="auto"/>
            <w:vAlign w:val="center"/>
          </w:tcPr>
          <w:p w:rsidR="00E771EC" w:rsidRDefault="00E771EC" w:rsidP="001B4FF3">
            <w:pPr>
              <w:widowControl/>
              <w:jc w:val="center"/>
              <w:rPr>
                <w:rFonts w:ascii="仿宋_GB2312" w:eastAsia="仿宋_GB2312" w:hAnsi="宋体" w:cs="宋体" w:hint="default"/>
                <w:kern w:val="0"/>
              </w:rPr>
            </w:pP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骗取金额50万元以上的</w:t>
            </w:r>
          </w:p>
        </w:tc>
        <w:tc>
          <w:tcPr>
            <w:tcW w:w="2839" w:type="dxa"/>
            <w:vMerge w:val="restart"/>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处骗取金额五倍罚款</w:t>
            </w:r>
          </w:p>
        </w:tc>
      </w:tr>
      <w:tr w:rsidR="00E771EC" w:rsidTr="001B4FF3">
        <w:trPr>
          <w:trHeight w:val="582"/>
          <w:jc w:val="center"/>
        </w:trPr>
        <w:tc>
          <w:tcPr>
            <w:tcW w:w="436" w:type="dxa"/>
            <w:vMerge/>
            <w:vAlign w:val="center"/>
          </w:tcPr>
          <w:p w:rsidR="00E771EC" w:rsidRDefault="00E771EC" w:rsidP="001B4FF3">
            <w:pPr>
              <w:widowControl/>
              <w:jc w:val="left"/>
              <w:rPr>
                <w:rFonts w:ascii="仿宋_GB2312" w:eastAsia="仿宋_GB2312" w:hAnsi="宋体" w:cs="宋体" w:hint="default"/>
                <w:kern w:val="0"/>
                <w:sz w:val="24"/>
              </w:rPr>
            </w:pPr>
          </w:p>
        </w:tc>
        <w:tc>
          <w:tcPr>
            <w:tcW w:w="2260" w:type="dxa"/>
            <w:vMerge/>
            <w:vAlign w:val="center"/>
          </w:tcPr>
          <w:p w:rsidR="00E771EC" w:rsidRDefault="00E771EC" w:rsidP="001B4FF3">
            <w:pPr>
              <w:widowControl/>
              <w:jc w:val="left"/>
              <w:rPr>
                <w:rFonts w:ascii="仿宋_GB2312" w:eastAsia="仿宋_GB2312" w:hAnsi="宋体" w:cs="宋体" w:hint="default"/>
                <w:kern w:val="0"/>
                <w:sz w:val="24"/>
              </w:rPr>
            </w:pPr>
          </w:p>
        </w:tc>
        <w:tc>
          <w:tcPr>
            <w:tcW w:w="3989" w:type="dxa"/>
            <w:vMerge/>
            <w:vAlign w:val="center"/>
          </w:tcPr>
          <w:p w:rsidR="00E771EC" w:rsidRDefault="00E771EC" w:rsidP="001B4FF3">
            <w:pPr>
              <w:widowControl/>
              <w:jc w:val="left"/>
              <w:rPr>
                <w:rFonts w:ascii="仿宋_GB2312" w:eastAsia="仿宋_GB2312" w:hAnsi="宋体" w:cs="宋体" w:hint="default"/>
                <w:kern w:val="0"/>
                <w:sz w:val="24"/>
              </w:rPr>
            </w:pPr>
          </w:p>
        </w:tc>
        <w:tc>
          <w:tcPr>
            <w:tcW w:w="1069" w:type="dxa"/>
            <w:vMerge/>
            <w:vAlign w:val="center"/>
          </w:tcPr>
          <w:p w:rsidR="00E771EC" w:rsidRDefault="00E771EC" w:rsidP="001B4FF3">
            <w:pPr>
              <w:widowControl/>
              <w:jc w:val="center"/>
              <w:rPr>
                <w:rFonts w:ascii="仿宋_GB2312" w:eastAsia="仿宋_GB2312" w:hAnsi="宋体" w:cs="宋体" w:hint="default"/>
                <w:kern w:val="0"/>
                <w:sz w:val="24"/>
              </w:rPr>
            </w:pP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不配合执法、拒不改正违法行为的</w:t>
            </w:r>
          </w:p>
        </w:tc>
        <w:tc>
          <w:tcPr>
            <w:tcW w:w="2839" w:type="dxa"/>
            <w:vMerge/>
            <w:vAlign w:val="center"/>
          </w:tcPr>
          <w:p w:rsidR="00E771EC" w:rsidRDefault="00E771EC" w:rsidP="001B4FF3">
            <w:pPr>
              <w:widowControl/>
              <w:jc w:val="left"/>
              <w:rPr>
                <w:rFonts w:ascii="仿宋_GB2312" w:eastAsia="仿宋_GB2312" w:hAnsi="宋体" w:cs="宋体" w:hint="default"/>
                <w:kern w:val="0"/>
                <w:sz w:val="24"/>
              </w:rPr>
            </w:pPr>
          </w:p>
        </w:tc>
      </w:tr>
      <w:tr w:rsidR="00E771EC" w:rsidTr="001B4FF3">
        <w:trPr>
          <w:trHeight w:val="817"/>
          <w:jc w:val="center"/>
        </w:trPr>
        <w:tc>
          <w:tcPr>
            <w:tcW w:w="436" w:type="dxa"/>
            <w:vMerge/>
            <w:vAlign w:val="center"/>
          </w:tcPr>
          <w:p w:rsidR="00E771EC" w:rsidRDefault="00E771EC" w:rsidP="001B4FF3">
            <w:pPr>
              <w:widowControl/>
              <w:jc w:val="left"/>
              <w:rPr>
                <w:rFonts w:ascii="仿宋_GB2312" w:eastAsia="仿宋_GB2312" w:hAnsi="宋体" w:cs="宋体" w:hint="default"/>
                <w:kern w:val="0"/>
                <w:sz w:val="24"/>
              </w:rPr>
            </w:pPr>
          </w:p>
        </w:tc>
        <w:tc>
          <w:tcPr>
            <w:tcW w:w="2260" w:type="dxa"/>
            <w:vMerge/>
            <w:vAlign w:val="center"/>
          </w:tcPr>
          <w:p w:rsidR="00E771EC" w:rsidRDefault="00E771EC" w:rsidP="001B4FF3">
            <w:pPr>
              <w:widowControl/>
              <w:jc w:val="left"/>
              <w:rPr>
                <w:rFonts w:ascii="仿宋_GB2312" w:eastAsia="仿宋_GB2312" w:hAnsi="宋体" w:cs="宋体" w:hint="default"/>
                <w:kern w:val="0"/>
                <w:sz w:val="24"/>
              </w:rPr>
            </w:pPr>
          </w:p>
        </w:tc>
        <w:tc>
          <w:tcPr>
            <w:tcW w:w="3989" w:type="dxa"/>
            <w:vMerge/>
            <w:vAlign w:val="center"/>
          </w:tcPr>
          <w:p w:rsidR="00E771EC" w:rsidRDefault="00E771EC" w:rsidP="001B4FF3">
            <w:pPr>
              <w:widowControl/>
              <w:jc w:val="left"/>
              <w:rPr>
                <w:rFonts w:ascii="仿宋_GB2312" w:eastAsia="仿宋_GB2312" w:hAnsi="宋体" w:cs="宋体" w:hint="default"/>
                <w:kern w:val="0"/>
                <w:sz w:val="24"/>
              </w:rPr>
            </w:pPr>
          </w:p>
        </w:tc>
        <w:tc>
          <w:tcPr>
            <w:tcW w:w="1069" w:type="dxa"/>
            <w:vMerge/>
            <w:vAlign w:val="center"/>
          </w:tcPr>
          <w:p w:rsidR="00E771EC" w:rsidRDefault="00E771EC" w:rsidP="001B4FF3">
            <w:pPr>
              <w:widowControl/>
              <w:jc w:val="center"/>
              <w:rPr>
                <w:rFonts w:ascii="仿宋_GB2312" w:eastAsia="仿宋_GB2312" w:hAnsi="宋体" w:cs="宋体" w:hint="default"/>
                <w:kern w:val="0"/>
                <w:sz w:val="24"/>
              </w:rPr>
            </w:pP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再次发生以欺诈、伪造证明材料或者其他手段骗取医疗保障待遇行为的</w:t>
            </w:r>
          </w:p>
        </w:tc>
        <w:tc>
          <w:tcPr>
            <w:tcW w:w="2839" w:type="dxa"/>
            <w:vMerge/>
            <w:vAlign w:val="center"/>
          </w:tcPr>
          <w:p w:rsidR="00E771EC" w:rsidRDefault="00E771EC" w:rsidP="001B4FF3">
            <w:pPr>
              <w:widowControl/>
              <w:jc w:val="left"/>
              <w:rPr>
                <w:rFonts w:ascii="仿宋_GB2312" w:eastAsia="仿宋_GB2312" w:hAnsi="宋体" w:cs="宋体" w:hint="default"/>
                <w:kern w:val="0"/>
                <w:sz w:val="24"/>
              </w:rPr>
            </w:pPr>
          </w:p>
        </w:tc>
      </w:tr>
      <w:tr w:rsidR="00E771EC" w:rsidTr="001B4FF3">
        <w:trPr>
          <w:trHeight w:val="855"/>
          <w:jc w:val="center"/>
        </w:trPr>
        <w:tc>
          <w:tcPr>
            <w:tcW w:w="436"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sz w:val="24"/>
              </w:rPr>
            </w:pPr>
            <w:r>
              <w:rPr>
                <w:rFonts w:ascii="仿宋_GB2312" w:eastAsia="仿宋_GB2312" w:hAnsi="宋体" w:cs="宋体"/>
                <w:kern w:val="0"/>
                <w:sz w:val="24"/>
              </w:rPr>
              <w:t>6</w:t>
            </w:r>
          </w:p>
        </w:tc>
        <w:tc>
          <w:tcPr>
            <w:tcW w:w="2260" w:type="dxa"/>
            <w:vMerge w:val="restart"/>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采取虚报、隐瞒、伪造等手段，骗取医疗救助资金的</w:t>
            </w:r>
          </w:p>
        </w:tc>
        <w:tc>
          <w:tcPr>
            <w:tcW w:w="3989"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《社会救助暂行办法》第六十八条：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从轻</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能积极配合执法，及时改正违法行为，且骗取金额不满2000元的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处骗取金额一倍罚款</w:t>
            </w:r>
          </w:p>
        </w:tc>
      </w:tr>
      <w:tr w:rsidR="00E771EC" w:rsidTr="001B4FF3">
        <w:trPr>
          <w:trHeight w:val="855"/>
          <w:jc w:val="center"/>
        </w:trPr>
        <w:tc>
          <w:tcPr>
            <w:tcW w:w="436" w:type="dxa"/>
            <w:vMerge/>
            <w:vAlign w:val="center"/>
          </w:tcPr>
          <w:p w:rsidR="00E771EC" w:rsidRDefault="00E771EC" w:rsidP="001B4FF3">
            <w:pPr>
              <w:widowControl/>
              <w:jc w:val="left"/>
              <w:rPr>
                <w:rFonts w:ascii="仿宋_GB2312" w:eastAsia="仿宋_GB2312" w:hAnsi="宋体" w:cs="宋体" w:hint="default"/>
                <w:kern w:val="0"/>
                <w:sz w:val="24"/>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一般</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骗取金额2000元以上不满4000元的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处骗取金额二倍罚款</w:t>
            </w:r>
          </w:p>
        </w:tc>
      </w:tr>
      <w:tr w:rsidR="00E771EC" w:rsidTr="001B4FF3">
        <w:trPr>
          <w:trHeight w:val="633"/>
          <w:jc w:val="center"/>
        </w:trPr>
        <w:tc>
          <w:tcPr>
            <w:tcW w:w="436" w:type="dxa"/>
            <w:vMerge/>
            <w:vAlign w:val="center"/>
          </w:tcPr>
          <w:p w:rsidR="00E771EC" w:rsidRDefault="00E771EC" w:rsidP="001B4FF3">
            <w:pPr>
              <w:widowControl/>
              <w:jc w:val="left"/>
              <w:rPr>
                <w:rFonts w:ascii="仿宋_GB2312" w:eastAsia="仿宋_GB2312" w:hAnsi="宋体" w:cs="宋体" w:hint="default"/>
                <w:kern w:val="0"/>
                <w:sz w:val="24"/>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从重</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骗取金额4000元以上的</w:t>
            </w:r>
          </w:p>
        </w:tc>
        <w:tc>
          <w:tcPr>
            <w:tcW w:w="2839" w:type="dxa"/>
            <w:vMerge w:val="restart"/>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处骗取金额三倍罚款</w:t>
            </w:r>
          </w:p>
        </w:tc>
      </w:tr>
      <w:tr w:rsidR="00E771EC" w:rsidTr="001B4FF3">
        <w:trPr>
          <w:trHeight w:val="684"/>
          <w:jc w:val="center"/>
        </w:trPr>
        <w:tc>
          <w:tcPr>
            <w:tcW w:w="436" w:type="dxa"/>
            <w:vMerge/>
            <w:vAlign w:val="center"/>
          </w:tcPr>
          <w:p w:rsidR="00E771EC" w:rsidRDefault="00E771EC" w:rsidP="001B4FF3">
            <w:pPr>
              <w:widowControl/>
              <w:jc w:val="left"/>
              <w:rPr>
                <w:rFonts w:hint="default"/>
              </w:rPr>
            </w:pPr>
          </w:p>
        </w:tc>
        <w:tc>
          <w:tcPr>
            <w:tcW w:w="2260" w:type="dxa"/>
            <w:vMerge/>
            <w:vAlign w:val="center"/>
          </w:tcPr>
          <w:p w:rsidR="00E771EC" w:rsidRDefault="00E771EC" w:rsidP="001B4FF3">
            <w:pPr>
              <w:widowControl/>
              <w:jc w:val="left"/>
              <w:rPr>
                <w:rFonts w:hint="default"/>
              </w:rPr>
            </w:pPr>
          </w:p>
        </w:tc>
        <w:tc>
          <w:tcPr>
            <w:tcW w:w="3989" w:type="dxa"/>
            <w:vMerge/>
            <w:vAlign w:val="center"/>
          </w:tcPr>
          <w:p w:rsidR="00E771EC" w:rsidRDefault="00E771EC" w:rsidP="001B4FF3">
            <w:pPr>
              <w:widowControl/>
              <w:jc w:val="left"/>
              <w:rPr>
                <w:rFonts w:hint="default"/>
              </w:rPr>
            </w:pPr>
          </w:p>
        </w:tc>
        <w:tc>
          <w:tcPr>
            <w:tcW w:w="1069" w:type="dxa"/>
            <w:vMerge/>
            <w:shd w:val="clear" w:color="auto" w:fill="auto"/>
            <w:vAlign w:val="center"/>
          </w:tcPr>
          <w:p w:rsidR="00E771EC" w:rsidRDefault="00E771EC" w:rsidP="001B4FF3">
            <w:pPr>
              <w:widowControl/>
              <w:jc w:val="center"/>
              <w:rPr>
                <w:rFonts w:hint="default"/>
              </w:rPr>
            </w:pP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不配合执法、拒不改正违法行为的</w:t>
            </w:r>
          </w:p>
        </w:tc>
        <w:tc>
          <w:tcPr>
            <w:tcW w:w="2839" w:type="dxa"/>
            <w:vMerge/>
            <w:shd w:val="clear" w:color="auto" w:fill="auto"/>
            <w:vAlign w:val="center"/>
          </w:tcPr>
          <w:p w:rsidR="00E771EC" w:rsidRDefault="00E771EC" w:rsidP="001B4FF3">
            <w:pPr>
              <w:widowControl/>
              <w:jc w:val="left"/>
              <w:rPr>
                <w:rFonts w:ascii="仿宋_GB2312" w:eastAsia="仿宋_GB2312" w:hAnsi="宋体" w:cs="宋体" w:hint="default"/>
                <w:kern w:val="0"/>
              </w:rPr>
            </w:pPr>
          </w:p>
        </w:tc>
      </w:tr>
      <w:tr w:rsidR="00E771EC" w:rsidTr="001B4FF3">
        <w:trPr>
          <w:trHeight w:val="830"/>
          <w:jc w:val="center"/>
        </w:trPr>
        <w:tc>
          <w:tcPr>
            <w:tcW w:w="436" w:type="dxa"/>
            <w:vMerge/>
            <w:vAlign w:val="center"/>
          </w:tcPr>
          <w:p w:rsidR="00E771EC" w:rsidRDefault="00E771EC" w:rsidP="001B4FF3">
            <w:pPr>
              <w:widowControl/>
              <w:jc w:val="left"/>
              <w:rPr>
                <w:rFonts w:ascii="仿宋_GB2312" w:eastAsia="仿宋_GB2312" w:hAnsi="宋体" w:cs="宋体" w:hint="default"/>
                <w:kern w:val="0"/>
                <w:sz w:val="24"/>
              </w:rPr>
            </w:pPr>
          </w:p>
        </w:tc>
        <w:tc>
          <w:tcPr>
            <w:tcW w:w="2260" w:type="dxa"/>
            <w:vMerge/>
            <w:vAlign w:val="center"/>
          </w:tcPr>
          <w:p w:rsidR="00E771EC" w:rsidRDefault="00E771EC" w:rsidP="001B4FF3">
            <w:pPr>
              <w:widowControl/>
              <w:jc w:val="left"/>
              <w:rPr>
                <w:rFonts w:ascii="仿宋_GB2312" w:eastAsia="仿宋_GB2312" w:hAnsi="宋体" w:cs="宋体" w:hint="default"/>
                <w:kern w:val="0"/>
              </w:rPr>
            </w:pPr>
          </w:p>
        </w:tc>
        <w:tc>
          <w:tcPr>
            <w:tcW w:w="3989" w:type="dxa"/>
            <w:vMerge/>
            <w:vAlign w:val="center"/>
          </w:tcPr>
          <w:p w:rsidR="00E771EC" w:rsidRDefault="00E771EC" w:rsidP="001B4FF3">
            <w:pPr>
              <w:widowControl/>
              <w:jc w:val="left"/>
              <w:rPr>
                <w:rFonts w:ascii="仿宋_GB2312" w:eastAsia="仿宋_GB2312" w:hAnsi="宋体" w:cs="宋体" w:hint="default"/>
                <w:kern w:val="0"/>
              </w:rPr>
            </w:pPr>
          </w:p>
        </w:tc>
        <w:tc>
          <w:tcPr>
            <w:tcW w:w="1069" w:type="dxa"/>
            <w:vMerge/>
            <w:shd w:val="clear" w:color="auto" w:fill="auto"/>
            <w:vAlign w:val="center"/>
          </w:tcPr>
          <w:p w:rsidR="00E771EC" w:rsidRDefault="00E771EC" w:rsidP="001B4FF3">
            <w:pPr>
              <w:widowControl/>
              <w:jc w:val="center"/>
              <w:rPr>
                <w:rFonts w:ascii="仿宋_GB2312" w:eastAsia="仿宋_GB2312" w:hAnsi="宋体" w:cs="宋体" w:hint="default"/>
                <w:kern w:val="0"/>
              </w:rPr>
            </w:pP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再次发生采取虚报、隐瞒伪造等手段，骗取医疗救助资金的</w:t>
            </w:r>
          </w:p>
        </w:tc>
        <w:tc>
          <w:tcPr>
            <w:tcW w:w="2839" w:type="dxa"/>
            <w:vMerge/>
            <w:shd w:val="clear" w:color="auto" w:fill="auto"/>
            <w:vAlign w:val="center"/>
          </w:tcPr>
          <w:p w:rsidR="00E771EC" w:rsidRDefault="00E771EC" w:rsidP="001B4FF3">
            <w:pPr>
              <w:widowControl/>
              <w:jc w:val="left"/>
              <w:rPr>
                <w:rFonts w:ascii="仿宋_GB2312" w:eastAsia="仿宋_GB2312" w:hAnsi="宋体" w:cs="宋体" w:hint="default"/>
                <w:kern w:val="0"/>
              </w:rPr>
            </w:pPr>
          </w:p>
        </w:tc>
      </w:tr>
      <w:tr w:rsidR="00E771EC" w:rsidTr="001B4FF3">
        <w:trPr>
          <w:trHeight w:val="680"/>
          <w:jc w:val="center"/>
        </w:trPr>
        <w:tc>
          <w:tcPr>
            <w:tcW w:w="436"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sz w:val="24"/>
              </w:rPr>
            </w:pPr>
            <w:r>
              <w:rPr>
                <w:rFonts w:ascii="仿宋_GB2312" w:eastAsia="仿宋_GB2312" w:hAnsi="宋体" w:cs="宋体"/>
                <w:kern w:val="0"/>
                <w:sz w:val="24"/>
              </w:rPr>
              <w:t>7</w:t>
            </w:r>
          </w:p>
        </w:tc>
        <w:tc>
          <w:tcPr>
            <w:tcW w:w="2260" w:type="dxa"/>
            <w:vMerge w:val="restart"/>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用人单位未按规定将生育津贴足额支付给职工且逾期不改正的</w:t>
            </w:r>
          </w:p>
        </w:tc>
        <w:tc>
          <w:tcPr>
            <w:tcW w:w="3989" w:type="dxa"/>
            <w:vMerge w:val="restart"/>
            <w:shd w:val="clear" w:color="auto" w:fill="auto"/>
            <w:vAlign w:val="center"/>
          </w:tcPr>
          <w:p w:rsidR="00E771EC" w:rsidRDefault="00E771EC" w:rsidP="001B4FF3">
            <w:pPr>
              <w:widowControl/>
              <w:rPr>
                <w:rFonts w:ascii="仿宋_GB2312" w:eastAsia="仿宋_GB2312" w:hAnsi="宋体" w:cs="宋体" w:hint="default"/>
                <w:kern w:val="0"/>
              </w:rPr>
            </w:pPr>
            <w:r>
              <w:rPr>
                <w:rFonts w:ascii="仿宋_GB2312" w:eastAsia="仿宋_GB2312" w:hAnsi="宋体" w:cs="宋体"/>
                <w:kern w:val="0"/>
              </w:rPr>
              <w:t>《广东省职工生育保险规定》第四十条：用人单位未按照本规定第十七条第二款规定将生育津贴足额支付给职工的，由社会保险行政部门责令限期改正；逾期不改正的，可对用人单位处2000元以上2万元以下的罚款。</w:t>
            </w: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从轻</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涉案金额不满2000元，经责令改正逾期不改正的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处2000元以上8000元以下罚款</w:t>
            </w:r>
          </w:p>
        </w:tc>
      </w:tr>
      <w:tr w:rsidR="00E771EC" w:rsidTr="001B4FF3">
        <w:trPr>
          <w:trHeight w:val="942"/>
          <w:jc w:val="center"/>
        </w:trPr>
        <w:tc>
          <w:tcPr>
            <w:tcW w:w="436" w:type="dxa"/>
            <w:vMerge/>
            <w:vAlign w:val="center"/>
          </w:tcPr>
          <w:p w:rsidR="00E771EC" w:rsidRDefault="00E771EC" w:rsidP="001B4FF3">
            <w:pPr>
              <w:widowControl/>
              <w:jc w:val="left"/>
              <w:rPr>
                <w:rFonts w:ascii="仿宋_GB2312" w:eastAsia="仿宋_GB2312" w:hAnsi="宋体" w:cs="宋体" w:hint="default"/>
                <w:kern w:val="0"/>
                <w:sz w:val="24"/>
              </w:rPr>
            </w:pPr>
          </w:p>
        </w:tc>
        <w:tc>
          <w:tcPr>
            <w:tcW w:w="2260" w:type="dxa"/>
            <w:vMerge/>
            <w:vAlign w:val="center"/>
          </w:tcPr>
          <w:p w:rsidR="00E771EC" w:rsidRDefault="00E771EC" w:rsidP="001B4FF3">
            <w:pPr>
              <w:widowControl/>
              <w:jc w:val="left"/>
              <w:rPr>
                <w:rFonts w:ascii="仿宋_GB2312" w:eastAsia="仿宋_GB2312" w:hAnsi="宋体" w:cs="宋体" w:hint="default"/>
                <w:kern w:val="0"/>
                <w:sz w:val="24"/>
              </w:rPr>
            </w:pPr>
          </w:p>
        </w:tc>
        <w:tc>
          <w:tcPr>
            <w:tcW w:w="3989" w:type="dxa"/>
            <w:vMerge/>
            <w:vAlign w:val="center"/>
          </w:tcPr>
          <w:p w:rsidR="00E771EC" w:rsidRDefault="00E771EC" w:rsidP="001B4FF3">
            <w:pPr>
              <w:widowControl/>
              <w:jc w:val="left"/>
              <w:rPr>
                <w:rFonts w:ascii="仿宋_GB2312" w:eastAsia="仿宋_GB2312" w:hAnsi="宋体" w:cs="宋体" w:hint="default"/>
                <w:kern w:val="0"/>
                <w:sz w:val="24"/>
              </w:rPr>
            </w:pPr>
          </w:p>
        </w:tc>
        <w:tc>
          <w:tcPr>
            <w:tcW w:w="1069" w:type="dxa"/>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一般</w:t>
            </w: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涉案金额2000元以上不满8000元的，经责令改正逾期不改正的</w:t>
            </w:r>
          </w:p>
        </w:tc>
        <w:tc>
          <w:tcPr>
            <w:tcW w:w="2839"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处8000元以上14000元以下罚款</w:t>
            </w:r>
          </w:p>
        </w:tc>
      </w:tr>
      <w:tr w:rsidR="00E771EC" w:rsidTr="001B4FF3">
        <w:trPr>
          <w:trHeight w:val="876"/>
          <w:jc w:val="center"/>
        </w:trPr>
        <w:tc>
          <w:tcPr>
            <w:tcW w:w="436" w:type="dxa"/>
            <w:vMerge/>
            <w:vAlign w:val="center"/>
          </w:tcPr>
          <w:p w:rsidR="00E771EC" w:rsidRDefault="00E771EC" w:rsidP="001B4FF3">
            <w:pPr>
              <w:widowControl/>
              <w:jc w:val="left"/>
              <w:rPr>
                <w:rFonts w:ascii="仿宋_GB2312" w:eastAsia="仿宋_GB2312" w:hAnsi="宋体" w:cs="宋体" w:hint="default"/>
                <w:kern w:val="0"/>
                <w:sz w:val="24"/>
              </w:rPr>
            </w:pPr>
          </w:p>
        </w:tc>
        <w:tc>
          <w:tcPr>
            <w:tcW w:w="2260" w:type="dxa"/>
            <w:vMerge/>
            <w:vAlign w:val="center"/>
          </w:tcPr>
          <w:p w:rsidR="00E771EC" w:rsidRDefault="00E771EC" w:rsidP="001B4FF3">
            <w:pPr>
              <w:widowControl/>
              <w:jc w:val="left"/>
              <w:rPr>
                <w:rFonts w:ascii="仿宋_GB2312" w:eastAsia="仿宋_GB2312" w:hAnsi="宋体" w:cs="宋体" w:hint="default"/>
                <w:kern w:val="0"/>
                <w:sz w:val="24"/>
              </w:rPr>
            </w:pPr>
          </w:p>
        </w:tc>
        <w:tc>
          <w:tcPr>
            <w:tcW w:w="3989" w:type="dxa"/>
            <w:vMerge/>
            <w:vAlign w:val="center"/>
          </w:tcPr>
          <w:p w:rsidR="00E771EC" w:rsidRDefault="00E771EC" w:rsidP="001B4FF3">
            <w:pPr>
              <w:widowControl/>
              <w:jc w:val="left"/>
              <w:rPr>
                <w:rFonts w:ascii="仿宋_GB2312" w:eastAsia="仿宋_GB2312" w:hAnsi="宋体" w:cs="宋体" w:hint="default"/>
                <w:kern w:val="0"/>
                <w:sz w:val="24"/>
              </w:rPr>
            </w:pPr>
          </w:p>
        </w:tc>
        <w:tc>
          <w:tcPr>
            <w:tcW w:w="1069" w:type="dxa"/>
            <w:vMerge w:val="restart"/>
            <w:shd w:val="clear" w:color="auto" w:fill="auto"/>
            <w:vAlign w:val="center"/>
          </w:tcPr>
          <w:p w:rsidR="00E771EC" w:rsidRDefault="00E771EC" w:rsidP="001B4FF3">
            <w:pPr>
              <w:widowControl/>
              <w:jc w:val="center"/>
              <w:rPr>
                <w:rFonts w:ascii="仿宋_GB2312" w:eastAsia="仿宋_GB2312" w:hAnsi="宋体" w:cs="宋体" w:hint="default"/>
                <w:kern w:val="0"/>
              </w:rPr>
            </w:pPr>
            <w:r>
              <w:rPr>
                <w:rFonts w:ascii="仿宋_GB2312" w:eastAsia="仿宋_GB2312" w:hAnsi="宋体" w:cs="宋体"/>
                <w:kern w:val="0"/>
              </w:rPr>
              <w:t>从重</w:t>
            </w:r>
          </w:p>
        </w:tc>
        <w:tc>
          <w:tcPr>
            <w:tcW w:w="2974" w:type="dxa"/>
            <w:shd w:val="clear" w:color="auto" w:fill="auto"/>
            <w:vAlign w:val="center"/>
          </w:tcPr>
          <w:p w:rsidR="00E771EC" w:rsidRDefault="00E771EC" w:rsidP="001B4FF3">
            <w:pPr>
              <w:rPr>
                <w:rFonts w:ascii="仿宋_GB2312" w:eastAsia="仿宋_GB2312" w:hAnsi="宋体" w:cs="宋体" w:hint="default"/>
                <w:kern w:val="0"/>
              </w:rPr>
            </w:pPr>
            <w:r>
              <w:rPr>
                <w:rFonts w:ascii="仿宋_GB2312" w:eastAsia="仿宋_GB2312" w:hAnsi="宋体" w:cs="宋体"/>
                <w:kern w:val="0"/>
              </w:rPr>
              <w:t>涉案金额8000元以上，经责令改正逾期不改正的</w:t>
            </w:r>
          </w:p>
        </w:tc>
        <w:tc>
          <w:tcPr>
            <w:tcW w:w="2839" w:type="dxa"/>
            <w:vMerge w:val="restart"/>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处14000元以上20000元以下罚款</w:t>
            </w:r>
          </w:p>
        </w:tc>
      </w:tr>
      <w:tr w:rsidR="00E771EC" w:rsidTr="001B4FF3">
        <w:trPr>
          <w:trHeight w:val="724"/>
          <w:jc w:val="center"/>
        </w:trPr>
        <w:tc>
          <w:tcPr>
            <w:tcW w:w="436" w:type="dxa"/>
            <w:vMerge/>
            <w:vAlign w:val="center"/>
          </w:tcPr>
          <w:p w:rsidR="00E771EC" w:rsidRDefault="00E771EC" w:rsidP="001B4FF3">
            <w:pPr>
              <w:widowControl/>
              <w:jc w:val="left"/>
              <w:rPr>
                <w:rFonts w:hint="default"/>
              </w:rPr>
            </w:pPr>
          </w:p>
        </w:tc>
        <w:tc>
          <w:tcPr>
            <w:tcW w:w="2260" w:type="dxa"/>
            <w:vMerge/>
            <w:vAlign w:val="center"/>
          </w:tcPr>
          <w:p w:rsidR="00E771EC" w:rsidRDefault="00E771EC" w:rsidP="001B4FF3">
            <w:pPr>
              <w:widowControl/>
              <w:jc w:val="left"/>
              <w:rPr>
                <w:rFonts w:hint="default"/>
              </w:rPr>
            </w:pPr>
          </w:p>
        </w:tc>
        <w:tc>
          <w:tcPr>
            <w:tcW w:w="3989" w:type="dxa"/>
            <w:vMerge/>
            <w:vAlign w:val="center"/>
          </w:tcPr>
          <w:p w:rsidR="00E771EC" w:rsidRDefault="00E771EC" w:rsidP="001B4FF3">
            <w:pPr>
              <w:widowControl/>
              <w:jc w:val="left"/>
              <w:rPr>
                <w:rFonts w:hint="default"/>
              </w:rPr>
            </w:pPr>
          </w:p>
        </w:tc>
        <w:tc>
          <w:tcPr>
            <w:tcW w:w="1069" w:type="dxa"/>
            <w:vMerge/>
            <w:shd w:val="clear" w:color="auto" w:fill="auto"/>
            <w:vAlign w:val="center"/>
          </w:tcPr>
          <w:p w:rsidR="00E771EC" w:rsidRDefault="00E771EC" w:rsidP="001B4FF3">
            <w:pPr>
              <w:widowControl/>
              <w:jc w:val="center"/>
              <w:rPr>
                <w:rFonts w:hint="default"/>
              </w:rPr>
            </w:pPr>
          </w:p>
        </w:tc>
        <w:tc>
          <w:tcPr>
            <w:tcW w:w="2974" w:type="dxa"/>
            <w:shd w:val="clear" w:color="auto" w:fill="auto"/>
            <w:vAlign w:val="center"/>
          </w:tcPr>
          <w:p w:rsidR="00E771EC" w:rsidRDefault="00E771EC" w:rsidP="001B4FF3">
            <w:pPr>
              <w:widowControl/>
              <w:jc w:val="left"/>
              <w:rPr>
                <w:rFonts w:ascii="仿宋_GB2312" w:eastAsia="仿宋_GB2312" w:hAnsi="宋体" w:cs="宋体" w:hint="default"/>
                <w:kern w:val="0"/>
              </w:rPr>
            </w:pPr>
            <w:r>
              <w:rPr>
                <w:rFonts w:ascii="仿宋_GB2312" w:eastAsia="仿宋_GB2312" w:hAnsi="宋体" w:cs="宋体"/>
                <w:kern w:val="0"/>
              </w:rPr>
              <w:t>拒不配合执法、拒不改正违法行为的</w:t>
            </w:r>
          </w:p>
        </w:tc>
        <w:tc>
          <w:tcPr>
            <w:tcW w:w="2839" w:type="dxa"/>
            <w:vMerge/>
            <w:shd w:val="clear" w:color="auto" w:fill="auto"/>
            <w:vAlign w:val="center"/>
          </w:tcPr>
          <w:p w:rsidR="00E771EC" w:rsidRDefault="00E771EC" w:rsidP="001B4FF3">
            <w:pPr>
              <w:widowControl/>
              <w:jc w:val="left"/>
              <w:rPr>
                <w:rFonts w:ascii="仿宋_GB2312" w:eastAsia="仿宋_GB2312" w:hAnsi="宋体" w:cs="宋体" w:hint="default"/>
                <w:kern w:val="0"/>
              </w:rPr>
            </w:pPr>
          </w:p>
        </w:tc>
      </w:tr>
    </w:tbl>
    <w:p w:rsidR="00360E38" w:rsidRPr="00E771EC" w:rsidRDefault="00360E38" w:rsidP="00E771EC">
      <w:pPr>
        <w:rPr>
          <w:rFonts w:eastAsiaTheme="minorEastAsia"/>
        </w:rPr>
      </w:pPr>
    </w:p>
    <w:sectPr w:rsidR="00360E38" w:rsidRPr="00E771EC" w:rsidSect="00E771E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EC"/>
    <w:rsid w:val="000020B1"/>
    <w:rsid w:val="000232C3"/>
    <w:rsid w:val="00026EFA"/>
    <w:rsid w:val="000429C7"/>
    <w:rsid w:val="00074E2B"/>
    <w:rsid w:val="00097FDB"/>
    <w:rsid w:val="000B4307"/>
    <w:rsid w:val="000C0611"/>
    <w:rsid w:val="000C2B76"/>
    <w:rsid w:val="000E1C57"/>
    <w:rsid w:val="000F3AFE"/>
    <w:rsid w:val="000F6C0F"/>
    <w:rsid w:val="0015279D"/>
    <w:rsid w:val="00166690"/>
    <w:rsid w:val="00181C78"/>
    <w:rsid w:val="001A7750"/>
    <w:rsid w:val="001B148B"/>
    <w:rsid w:val="001C5C1A"/>
    <w:rsid w:val="001D6594"/>
    <w:rsid w:val="001E4CFB"/>
    <w:rsid w:val="00214A0A"/>
    <w:rsid w:val="00242014"/>
    <w:rsid w:val="00260EA5"/>
    <w:rsid w:val="00283D4E"/>
    <w:rsid w:val="00295E23"/>
    <w:rsid w:val="002B4CB5"/>
    <w:rsid w:val="002E3444"/>
    <w:rsid w:val="00300373"/>
    <w:rsid w:val="0030240B"/>
    <w:rsid w:val="00320D2A"/>
    <w:rsid w:val="0032219E"/>
    <w:rsid w:val="003549F0"/>
    <w:rsid w:val="00356EA9"/>
    <w:rsid w:val="00360E38"/>
    <w:rsid w:val="00361020"/>
    <w:rsid w:val="003622B8"/>
    <w:rsid w:val="003759B3"/>
    <w:rsid w:val="0038077A"/>
    <w:rsid w:val="003A7A86"/>
    <w:rsid w:val="003C255D"/>
    <w:rsid w:val="003E260F"/>
    <w:rsid w:val="00413A94"/>
    <w:rsid w:val="00427BA7"/>
    <w:rsid w:val="0043303D"/>
    <w:rsid w:val="00435E52"/>
    <w:rsid w:val="0044214A"/>
    <w:rsid w:val="00443999"/>
    <w:rsid w:val="00447106"/>
    <w:rsid w:val="00472C4E"/>
    <w:rsid w:val="00481AEE"/>
    <w:rsid w:val="00484102"/>
    <w:rsid w:val="00485DF1"/>
    <w:rsid w:val="004B77B1"/>
    <w:rsid w:val="004D0691"/>
    <w:rsid w:val="004D7048"/>
    <w:rsid w:val="004E4160"/>
    <w:rsid w:val="004F471C"/>
    <w:rsid w:val="00516F59"/>
    <w:rsid w:val="005401EC"/>
    <w:rsid w:val="005449CF"/>
    <w:rsid w:val="00562896"/>
    <w:rsid w:val="005B28F2"/>
    <w:rsid w:val="005B4DF3"/>
    <w:rsid w:val="005C00DA"/>
    <w:rsid w:val="005D39B8"/>
    <w:rsid w:val="005D4C47"/>
    <w:rsid w:val="005E2968"/>
    <w:rsid w:val="005F3F70"/>
    <w:rsid w:val="0061034C"/>
    <w:rsid w:val="00622FF6"/>
    <w:rsid w:val="00626755"/>
    <w:rsid w:val="00631B1F"/>
    <w:rsid w:val="00631DAA"/>
    <w:rsid w:val="006426B8"/>
    <w:rsid w:val="00651BB8"/>
    <w:rsid w:val="0068084C"/>
    <w:rsid w:val="006813EC"/>
    <w:rsid w:val="00696191"/>
    <w:rsid w:val="006A2B8A"/>
    <w:rsid w:val="006B0D4C"/>
    <w:rsid w:val="006B3E38"/>
    <w:rsid w:val="006F0B4B"/>
    <w:rsid w:val="00701653"/>
    <w:rsid w:val="0070243C"/>
    <w:rsid w:val="007077AB"/>
    <w:rsid w:val="0071207C"/>
    <w:rsid w:val="00712543"/>
    <w:rsid w:val="00713643"/>
    <w:rsid w:val="007260B7"/>
    <w:rsid w:val="007416AA"/>
    <w:rsid w:val="00752C36"/>
    <w:rsid w:val="00753011"/>
    <w:rsid w:val="00763999"/>
    <w:rsid w:val="0077004B"/>
    <w:rsid w:val="00773CDB"/>
    <w:rsid w:val="007A3439"/>
    <w:rsid w:val="007B2EDB"/>
    <w:rsid w:val="007D4293"/>
    <w:rsid w:val="007E2D40"/>
    <w:rsid w:val="007F3A96"/>
    <w:rsid w:val="007F477F"/>
    <w:rsid w:val="00805BF4"/>
    <w:rsid w:val="00811D06"/>
    <w:rsid w:val="00853B12"/>
    <w:rsid w:val="008714E8"/>
    <w:rsid w:val="008D422C"/>
    <w:rsid w:val="008D6A1E"/>
    <w:rsid w:val="008F0F18"/>
    <w:rsid w:val="008F7110"/>
    <w:rsid w:val="00926434"/>
    <w:rsid w:val="00981F90"/>
    <w:rsid w:val="009D19C7"/>
    <w:rsid w:val="009D5167"/>
    <w:rsid w:val="009F7A86"/>
    <w:rsid w:val="00A012A8"/>
    <w:rsid w:val="00A06FFD"/>
    <w:rsid w:val="00A14C90"/>
    <w:rsid w:val="00A175BF"/>
    <w:rsid w:val="00A53770"/>
    <w:rsid w:val="00A53E2F"/>
    <w:rsid w:val="00A55177"/>
    <w:rsid w:val="00A55984"/>
    <w:rsid w:val="00A84911"/>
    <w:rsid w:val="00A858DF"/>
    <w:rsid w:val="00A9707D"/>
    <w:rsid w:val="00AC2CF5"/>
    <w:rsid w:val="00AC7D25"/>
    <w:rsid w:val="00AE1B78"/>
    <w:rsid w:val="00AF3C5D"/>
    <w:rsid w:val="00B075A0"/>
    <w:rsid w:val="00B26964"/>
    <w:rsid w:val="00B35F90"/>
    <w:rsid w:val="00B47920"/>
    <w:rsid w:val="00B704E1"/>
    <w:rsid w:val="00B90B32"/>
    <w:rsid w:val="00B91782"/>
    <w:rsid w:val="00B93CB4"/>
    <w:rsid w:val="00BA3ACF"/>
    <w:rsid w:val="00BB21E6"/>
    <w:rsid w:val="00BC32BE"/>
    <w:rsid w:val="00BC3D25"/>
    <w:rsid w:val="00BC4325"/>
    <w:rsid w:val="00BC7231"/>
    <w:rsid w:val="00BE56ED"/>
    <w:rsid w:val="00BF37EE"/>
    <w:rsid w:val="00C00638"/>
    <w:rsid w:val="00C04448"/>
    <w:rsid w:val="00C11600"/>
    <w:rsid w:val="00C120D8"/>
    <w:rsid w:val="00C3174D"/>
    <w:rsid w:val="00C370F2"/>
    <w:rsid w:val="00C458EC"/>
    <w:rsid w:val="00C527A6"/>
    <w:rsid w:val="00C56013"/>
    <w:rsid w:val="00C74E0E"/>
    <w:rsid w:val="00C842BC"/>
    <w:rsid w:val="00C90289"/>
    <w:rsid w:val="00CD5F51"/>
    <w:rsid w:val="00CE5444"/>
    <w:rsid w:val="00CE57EF"/>
    <w:rsid w:val="00CE5E09"/>
    <w:rsid w:val="00D01DC9"/>
    <w:rsid w:val="00D04E4E"/>
    <w:rsid w:val="00D05A52"/>
    <w:rsid w:val="00D16565"/>
    <w:rsid w:val="00D246AE"/>
    <w:rsid w:val="00D24CA3"/>
    <w:rsid w:val="00D47AC4"/>
    <w:rsid w:val="00D64E5E"/>
    <w:rsid w:val="00D672AF"/>
    <w:rsid w:val="00D73E13"/>
    <w:rsid w:val="00D77A6A"/>
    <w:rsid w:val="00D92119"/>
    <w:rsid w:val="00D92BB7"/>
    <w:rsid w:val="00DB0076"/>
    <w:rsid w:val="00DC0014"/>
    <w:rsid w:val="00DC0D71"/>
    <w:rsid w:val="00DC7E9A"/>
    <w:rsid w:val="00DD0714"/>
    <w:rsid w:val="00DD5CB4"/>
    <w:rsid w:val="00DF37C8"/>
    <w:rsid w:val="00E246AC"/>
    <w:rsid w:val="00E31610"/>
    <w:rsid w:val="00E32327"/>
    <w:rsid w:val="00E466DF"/>
    <w:rsid w:val="00E50E94"/>
    <w:rsid w:val="00E53B53"/>
    <w:rsid w:val="00E62147"/>
    <w:rsid w:val="00E74131"/>
    <w:rsid w:val="00E74C19"/>
    <w:rsid w:val="00E771EC"/>
    <w:rsid w:val="00E86FEB"/>
    <w:rsid w:val="00E90D4C"/>
    <w:rsid w:val="00E944FD"/>
    <w:rsid w:val="00EB1AB8"/>
    <w:rsid w:val="00EB7123"/>
    <w:rsid w:val="00ED5941"/>
    <w:rsid w:val="00EE142C"/>
    <w:rsid w:val="00EE4FAC"/>
    <w:rsid w:val="00EE6455"/>
    <w:rsid w:val="00EE64C4"/>
    <w:rsid w:val="00EF1220"/>
    <w:rsid w:val="00EF63B6"/>
    <w:rsid w:val="00F00BD7"/>
    <w:rsid w:val="00F046F5"/>
    <w:rsid w:val="00F10C3D"/>
    <w:rsid w:val="00F13ACB"/>
    <w:rsid w:val="00F15475"/>
    <w:rsid w:val="00F219D2"/>
    <w:rsid w:val="00F22CE0"/>
    <w:rsid w:val="00F3042A"/>
    <w:rsid w:val="00F47607"/>
    <w:rsid w:val="00F76EE5"/>
    <w:rsid w:val="00F945CD"/>
    <w:rsid w:val="00FA15C0"/>
    <w:rsid w:val="00FA15ED"/>
    <w:rsid w:val="00FD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1EC"/>
    <w:pPr>
      <w:widowControl w:val="0"/>
      <w:jc w:val="both"/>
    </w:pPr>
    <w:rPr>
      <w:rFonts w:ascii="Arial Unicode MS" w:eastAsia="Times New Roman" w:hAnsi="Arial Unicode MS" w:cs="Arial Unicode MS" w:hint="eastAsia"/>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1EC"/>
    <w:pPr>
      <w:widowControl w:val="0"/>
      <w:jc w:val="both"/>
    </w:pPr>
    <w:rPr>
      <w:rFonts w:ascii="Arial Unicode MS" w:eastAsia="Times New Roman" w:hAnsi="Arial Unicode MS" w:cs="Arial Unicode MS" w:hint="eastAsia"/>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D7EE-2A9B-4CEC-AF4B-1FE4D4FE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406</Words>
  <Characters>2317</Characters>
  <Application>Microsoft Office Word</Application>
  <DocSecurity>0</DocSecurity>
  <Lines>19</Lines>
  <Paragraphs>5</Paragraphs>
  <ScaleCrop>false</ScaleCrop>
  <Company>HP Inc.</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2021-01-20T02:33:00Z</dcterms:created>
  <dcterms:modified xsi:type="dcterms:W3CDTF">2021-01-20T02:37:00Z</dcterms:modified>
</cp:coreProperties>
</file>